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Pr="00FE1B1F" w:rsidRDefault="00F0658E">
      <w:pPr>
        <w:rPr>
          <w:b/>
        </w:rPr>
      </w:pPr>
      <w:r w:rsidRPr="00FE1B1F">
        <w:rPr>
          <w:b/>
        </w:rPr>
        <w:t>Jazyková situace</w:t>
      </w:r>
      <w:bookmarkStart w:id="0" w:name="_GoBack"/>
      <w:bookmarkEnd w:id="0"/>
    </w:p>
    <w:p w:rsidR="00F0658E" w:rsidRDefault="00F0658E">
      <w:r>
        <w:t xml:space="preserve">Je charakterizována národním jazykem/národními jazyky a útvary národního jazyka užívanými na určitém území v jazykovém společenství. </w:t>
      </w:r>
    </w:p>
    <w:p w:rsidR="00F0658E" w:rsidRDefault="00F0658E"/>
    <w:p w:rsidR="00F0658E" w:rsidRDefault="00F0658E">
      <w:r w:rsidRPr="00F0658E">
        <w:drawing>
          <wp:inline distT="0" distB="0" distL="0" distR="0" wp14:anchorId="2837D132" wp14:editId="2B7F0D1E">
            <wp:extent cx="3486150" cy="26146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8441" cy="262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58E" w:rsidRDefault="00F0658E">
      <w:r>
        <w:t xml:space="preserve">Situace </w:t>
      </w:r>
      <w:proofErr w:type="spellStart"/>
      <w:r>
        <w:t>exoglosní</w:t>
      </w:r>
      <w:proofErr w:type="spellEnd"/>
      <w:r>
        <w:t xml:space="preserve"> rovnovážná: Švýcarsko, Belgie, Kanada</w:t>
      </w:r>
    </w:p>
    <w:p w:rsidR="00F0658E" w:rsidRDefault="00F0658E">
      <w:r>
        <w:t xml:space="preserve">Situace </w:t>
      </w:r>
      <w:proofErr w:type="spellStart"/>
      <w:r>
        <w:t>exoglosní</w:t>
      </w:r>
      <w:proofErr w:type="spellEnd"/>
      <w:r>
        <w:t xml:space="preserve"> </w:t>
      </w:r>
      <w:r>
        <w:t>ne</w:t>
      </w:r>
      <w:r>
        <w:t>rovnovážná:</w:t>
      </w:r>
      <w:r>
        <w:t xml:space="preserve"> Velká Británie + většina evropských zemí s národnostními menšinami</w:t>
      </w:r>
    </w:p>
    <w:p w:rsidR="00F0658E" w:rsidRDefault="00F0658E"/>
    <w:p w:rsidR="00F0658E" w:rsidRDefault="00F0658E"/>
    <w:sectPr w:rsidR="00F0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C9"/>
    <w:rsid w:val="005A4BC9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D914B7"/>
    <w:rsid w:val="00DC3148"/>
    <w:rsid w:val="00E53CB6"/>
    <w:rsid w:val="00F0658E"/>
    <w:rsid w:val="00FB325B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C54C1-A20A-497C-BEB4-18603CB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2017-11-14T12:06:00Z</dcterms:created>
  <dcterms:modified xsi:type="dcterms:W3CDTF">2017-11-14T12:09:00Z</dcterms:modified>
</cp:coreProperties>
</file>