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73F" w:rsidRPr="0070273F" w:rsidRDefault="0070273F" w:rsidP="00E6041F">
      <w:pPr>
        <w:spacing w:line="276" w:lineRule="auto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70273F">
        <w:rPr>
          <w:rFonts w:asciiTheme="minorHAnsi" w:hAnsiTheme="minorHAnsi" w:cstheme="minorHAnsi"/>
          <w:b/>
          <w:sz w:val="44"/>
          <w:szCs w:val="44"/>
        </w:rPr>
        <w:t xml:space="preserve">MASARYKOVA UNIVERZITA </w:t>
      </w:r>
    </w:p>
    <w:p w:rsidR="0070273F" w:rsidRPr="0070273F" w:rsidRDefault="0070273F" w:rsidP="00E6041F">
      <w:pPr>
        <w:spacing w:line="276" w:lineRule="auto"/>
        <w:rPr>
          <w:rFonts w:asciiTheme="minorHAnsi" w:hAnsiTheme="minorHAnsi" w:cstheme="minorHAnsi"/>
          <w:sz w:val="36"/>
          <w:szCs w:val="36"/>
        </w:rPr>
      </w:pPr>
    </w:p>
    <w:p w:rsidR="0070273F" w:rsidRPr="0070273F" w:rsidRDefault="0070273F" w:rsidP="00E6041F">
      <w:pPr>
        <w:spacing w:line="276" w:lineRule="auto"/>
        <w:rPr>
          <w:rFonts w:asciiTheme="minorHAnsi" w:hAnsiTheme="minorHAnsi" w:cstheme="minorHAnsi"/>
        </w:rPr>
      </w:pPr>
    </w:p>
    <w:p w:rsidR="0070273F" w:rsidRPr="0070273F" w:rsidRDefault="0070273F" w:rsidP="00E6041F">
      <w:pPr>
        <w:spacing w:line="276" w:lineRule="auto"/>
        <w:rPr>
          <w:rFonts w:asciiTheme="minorHAnsi" w:hAnsiTheme="minorHAnsi" w:cstheme="minorHAnsi"/>
        </w:rPr>
      </w:pPr>
    </w:p>
    <w:p w:rsidR="0070273F" w:rsidRPr="0070273F" w:rsidRDefault="0070273F" w:rsidP="00E6041F">
      <w:pPr>
        <w:spacing w:line="276" w:lineRule="auto"/>
        <w:rPr>
          <w:rFonts w:asciiTheme="minorHAnsi" w:hAnsiTheme="minorHAnsi" w:cstheme="minorHAnsi"/>
        </w:rPr>
      </w:pPr>
    </w:p>
    <w:p w:rsidR="0070273F" w:rsidRPr="0070273F" w:rsidRDefault="0070273F" w:rsidP="00E6041F">
      <w:pPr>
        <w:spacing w:line="276" w:lineRule="auto"/>
        <w:rPr>
          <w:rFonts w:asciiTheme="minorHAnsi" w:hAnsiTheme="minorHAnsi" w:cstheme="minorHAnsi"/>
        </w:rPr>
      </w:pPr>
      <w:r w:rsidRPr="0070273F">
        <w:rPr>
          <w:rFonts w:asciiTheme="minorHAnsi" w:hAnsiTheme="minorHAnsi" w:cstheme="minorHAnsi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79365B1A" wp14:editId="3551FB04">
            <wp:simplePos x="0" y="0"/>
            <wp:positionH relativeFrom="column">
              <wp:posOffset>2006600</wp:posOffset>
            </wp:positionH>
            <wp:positionV relativeFrom="paragraph">
              <wp:posOffset>10160</wp:posOffset>
            </wp:positionV>
            <wp:extent cx="1590675" cy="1582761"/>
            <wp:effectExtent l="0" t="0" r="0" b="0"/>
            <wp:wrapNone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82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273F" w:rsidRPr="0070273F" w:rsidRDefault="0070273F" w:rsidP="00E6041F">
      <w:pPr>
        <w:spacing w:line="276" w:lineRule="auto"/>
        <w:rPr>
          <w:rFonts w:asciiTheme="minorHAnsi" w:hAnsiTheme="minorHAnsi" w:cstheme="minorHAnsi"/>
        </w:rPr>
      </w:pPr>
    </w:p>
    <w:p w:rsidR="0070273F" w:rsidRPr="0070273F" w:rsidRDefault="0070273F" w:rsidP="00E6041F">
      <w:pPr>
        <w:spacing w:line="276" w:lineRule="auto"/>
        <w:rPr>
          <w:rFonts w:asciiTheme="minorHAnsi" w:hAnsiTheme="minorHAnsi" w:cstheme="minorHAnsi"/>
        </w:rPr>
      </w:pPr>
    </w:p>
    <w:p w:rsidR="0070273F" w:rsidRPr="0070273F" w:rsidRDefault="0070273F" w:rsidP="00E6041F">
      <w:pPr>
        <w:spacing w:line="276" w:lineRule="auto"/>
        <w:rPr>
          <w:rFonts w:asciiTheme="minorHAnsi" w:hAnsiTheme="minorHAnsi" w:cstheme="minorHAnsi"/>
        </w:rPr>
      </w:pPr>
    </w:p>
    <w:p w:rsidR="0070273F" w:rsidRPr="0070273F" w:rsidRDefault="0070273F" w:rsidP="00E6041F">
      <w:pPr>
        <w:spacing w:line="276" w:lineRule="auto"/>
        <w:rPr>
          <w:rFonts w:asciiTheme="minorHAnsi" w:hAnsiTheme="minorHAnsi" w:cstheme="minorHAnsi"/>
        </w:rPr>
      </w:pPr>
    </w:p>
    <w:p w:rsidR="0070273F" w:rsidRPr="0070273F" w:rsidRDefault="0070273F" w:rsidP="00E6041F">
      <w:pPr>
        <w:spacing w:line="276" w:lineRule="auto"/>
        <w:rPr>
          <w:rFonts w:asciiTheme="minorHAnsi" w:hAnsiTheme="minorHAnsi" w:cstheme="minorHAnsi"/>
        </w:rPr>
      </w:pPr>
    </w:p>
    <w:p w:rsidR="0070273F" w:rsidRPr="0070273F" w:rsidRDefault="0070273F" w:rsidP="00E6041F">
      <w:pPr>
        <w:spacing w:line="276" w:lineRule="auto"/>
        <w:rPr>
          <w:rFonts w:asciiTheme="minorHAnsi" w:hAnsiTheme="minorHAnsi" w:cstheme="minorHAnsi"/>
        </w:rPr>
      </w:pPr>
    </w:p>
    <w:p w:rsidR="0070273F" w:rsidRPr="0070273F" w:rsidRDefault="0070273F" w:rsidP="00E6041F">
      <w:pPr>
        <w:spacing w:line="276" w:lineRule="auto"/>
        <w:rPr>
          <w:rFonts w:asciiTheme="minorHAnsi" w:hAnsiTheme="minorHAnsi" w:cstheme="minorHAnsi"/>
        </w:rPr>
      </w:pPr>
    </w:p>
    <w:p w:rsidR="0070273F" w:rsidRPr="0070273F" w:rsidRDefault="0070273F" w:rsidP="00E6041F">
      <w:pPr>
        <w:spacing w:line="276" w:lineRule="auto"/>
        <w:rPr>
          <w:rFonts w:asciiTheme="minorHAnsi" w:hAnsiTheme="minorHAnsi" w:cstheme="minorHAnsi"/>
        </w:rPr>
      </w:pPr>
    </w:p>
    <w:p w:rsidR="0070273F" w:rsidRPr="0070273F" w:rsidRDefault="0070273F" w:rsidP="00E6041F">
      <w:pPr>
        <w:spacing w:line="276" w:lineRule="auto"/>
        <w:rPr>
          <w:rFonts w:asciiTheme="minorHAnsi" w:hAnsiTheme="minorHAnsi" w:cstheme="minorHAnsi"/>
        </w:rPr>
      </w:pPr>
    </w:p>
    <w:p w:rsidR="0070273F" w:rsidRPr="0070273F" w:rsidRDefault="0070273F" w:rsidP="00E6041F">
      <w:pPr>
        <w:spacing w:line="276" w:lineRule="auto"/>
        <w:rPr>
          <w:rFonts w:asciiTheme="minorHAnsi" w:hAnsiTheme="minorHAnsi" w:cstheme="minorHAnsi"/>
        </w:rPr>
      </w:pPr>
    </w:p>
    <w:p w:rsidR="0070273F" w:rsidRPr="0070273F" w:rsidRDefault="0070273F" w:rsidP="00E6041F">
      <w:pPr>
        <w:spacing w:line="276" w:lineRule="auto"/>
        <w:rPr>
          <w:rFonts w:asciiTheme="minorHAnsi" w:hAnsiTheme="minorHAnsi" w:cstheme="minorHAnsi"/>
        </w:rPr>
      </w:pPr>
    </w:p>
    <w:p w:rsidR="0070273F" w:rsidRPr="0070273F" w:rsidRDefault="0070273F" w:rsidP="00E6041F">
      <w:pPr>
        <w:spacing w:line="276" w:lineRule="auto"/>
        <w:rPr>
          <w:rFonts w:asciiTheme="minorHAnsi" w:hAnsiTheme="minorHAnsi" w:cstheme="minorHAnsi"/>
        </w:rPr>
      </w:pPr>
    </w:p>
    <w:p w:rsidR="0070273F" w:rsidRPr="0070273F" w:rsidRDefault="0070273F" w:rsidP="00E6041F">
      <w:pPr>
        <w:spacing w:line="276" w:lineRule="auto"/>
        <w:rPr>
          <w:rFonts w:asciiTheme="minorHAnsi" w:hAnsiTheme="minorHAnsi" w:cstheme="minorHAnsi"/>
        </w:rPr>
      </w:pPr>
    </w:p>
    <w:p w:rsidR="0070273F" w:rsidRPr="0070273F" w:rsidRDefault="0070273F" w:rsidP="00E6041F">
      <w:pPr>
        <w:spacing w:line="276" w:lineRule="auto"/>
        <w:jc w:val="center"/>
        <w:rPr>
          <w:rFonts w:asciiTheme="minorHAnsi" w:hAnsiTheme="minorHAnsi" w:cstheme="minorHAnsi"/>
          <w:lang w:eastAsia="en-US"/>
        </w:rPr>
      </w:pPr>
      <w:r w:rsidRPr="0070273F">
        <w:rPr>
          <w:rFonts w:asciiTheme="minorHAnsi" w:hAnsiTheme="minorHAnsi" w:cstheme="minorHAnsi"/>
          <w:b/>
          <w:sz w:val="44"/>
          <w:szCs w:val="44"/>
        </w:rPr>
        <w:t>Téma: BREXIT</w:t>
      </w:r>
    </w:p>
    <w:p w:rsidR="0070273F" w:rsidRPr="0070273F" w:rsidRDefault="0070273F" w:rsidP="00E6041F">
      <w:pPr>
        <w:spacing w:line="276" w:lineRule="auto"/>
        <w:jc w:val="center"/>
        <w:rPr>
          <w:rFonts w:asciiTheme="minorHAnsi" w:hAnsiTheme="minorHAnsi" w:cstheme="minorHAnsi"/>
          <w:b/>
          <w:sz w:val="44"/>
          <w:szCs w:val="44"/>
        </w:rPr>
      </w:pPr>
    </w:p>
    <w:p w:rsidR="0070273F" w:rsidRPr="0070273F" w:rsidRDefault="0070273F" w:rsidP="00E6041F">
      <w:pPr>
        <w:spacing w:line="276" w:lineRule="auto"/>
        <w:jc w:val="center"/>
        <w:rPr>
          <w:rFonts w:asciiTheme="minorHAnsi" w:hAnsiTheme="minorHAnsi" w:cstheme="minorHAnsi"/>
        </w:rPr>
      </w:pPr>
    </w:p>
    <w:p w:rsidR="0070273F" w:rsidRPr="0070273F" w:rsidRDefault="0070273F" w:rsidP="00E6041F">
      <w:pPr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70273F">
        <w:rPr>
          <w:rFonts w:asciiTheme="minorHAnsi" w:hAnsiTheme="minorHAnsi" w:cstheme="minorHAnsi"/>
          <w:sz w:val="32"/>
          <w:szCs w:val="32"/>
        </w:rPr>
        <w:t>Seminární práce</w:t>
      </w:r>
    </w:p>
    <w:p w:rsidR="0070273F" w:rsidRPr="0070273F" w:rsidRDefault="0070273F" w:rsidP="00E6041F">
      <w:pPr>
        <w:spacing w:line="276" w:lineRule="auto"/>
        <w:rPr>
          <w:rFonts w:asciiTheme="minorHAnsi" w:hAnsiTheme="minorHAnsi" w:cstheme="minorHAnsi"/>
        </w:rPr>
      </w:pPr>
    </w:p>
    <w:p w:rsidR="0070273F" w:rsidRPr="0070273F" w:rsidRDefault="0070273F" w:rsidP="00E6041F">
      <w:pPr>
        <w:spacing w:line="276" w:lineRule="auto"/>
        <w:rPr>
          <w:rFonts w:asciiTheme="minorHAnsi" w:hAnsiTheme="minorHAnsi" w:cstheme="minorHAnsi"/>
        </w:rPr>
      </w:pPr>
    </w:p>
    <w:p w:rsidR="0070273F" w:rsidRPr="0070273F" w:rsidRDefault="0070273F" w:rsidP="00E6041F">
      <w:pPr>
        <w:spacing w:line="276" w:lineRule="auto"/>
        <w:rPr>
          <w:rFonts w:asciiTheme="minorHAnsi" w:hAnsiTheme="minorHAnsi" w:cstheme="minorHAnsi"/>
        </w:rPr>
      </w:pPr>
    </w:p>
    <w:p w:rsidR="0070273F" w:rsidRPr="0070273F" w:rsidRDefault="0070273F" w:rsidP="00E6041F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70273F" w:rsidRPr="0070273F" w:rsidRDefault="0070273F" w:rsidP="00E6041F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70273F">
        <w:rPr>
          <w:rFonts w:asciiTheme="minorHAnsi" w:hAnsiTheme="minorHAnsi" w:cstheme="minorHAnsi"/>
          <w:sz w:val="28"/>
          <w:szCs w:val="28"/>
        </w:rPr>
        <w:t>Brno 2018</w:t>
      </w:r>
    </w:p>
    <w:p w:rsidR="0070273F" w:rsidRPr="0070273F" w:rsidRDefault="0070273F" w:rsidP="00E6041F">
      <w:pPr>
        <w:spacing w:line="276" w:lineRule="auto"/>
        <w:jc w:val="center"/>
        <w:rPr>
          <w:rFonts w:asciiTheme="minorHAnsi" w:hAnsiTheme="minorHAnsi" w:cstheme="minorHAnsi"/>
        </w:rPr>
      </w:pPr>
    </w:p>
    <w:p w:rsidR="0070273F" w:rsidRPr="0070273F" w:rsidRDefault="0070273F" w:rsidP="00E6041F">
      <w:pPr>
        <w:spacing w:line="276" w:lineRule="auto"/>
        <w:jc w:val="center"/>
        <w:rPr>
          <w:rFonts w:asciiTheme="minorHAnsi" w:hAnsiTheme="minorHAnsi" w:cstheme="minorHAnsi"/>
        </w:rPr>
      </w:pPr>
    </w:p>
    <w:p w:rsidR="0070273F" w:rsidRPr="0070273F" w:rsidRDefault="0070273F" w:rsidP="00E6041F">
      <w:pPr>
        <w:spacing w:line="276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:rsidR="0070273F" w:rsidRPr="0070273F" w:rsidRDefault="0070273F" w:rsidP="00E6041F">
      <w:pPr>
        <w:spacing w:line="276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70273F" w:rsidRPr="0070273F" w:rsidRDefault="0070273F" w:rsidP="00E6041F">
      <w:pPr>
        <w:spacing w:line="276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:rsidR="0070273F" w:rsidRPr="0070273F" w:rsidRDefault="0070273F" w:rsidP="00E6041F">
      <w:pPr>
        <w:spacing w:line="276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70273F" w:rsidRPr="0070273F" w:rsidRDefault="0070273F" w:rsidP="00E6041F">
      <w:pPr>
        <w:spacing w:line="276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70273F" w:rsidRPr="0070273F" w:rsidRDefault="0070273F" w:rsidP="00E6041F">
      <w:pPr>
        <w:spacing w:line="276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70273F" w:rsidRPr="0070273F" w:rsidRDefault="0070273F" w:rsidP="00E6041F">
      <w:pPr>
        <w:spacing w:line="276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70273F" w:rsidRPr="0070273F" w:rsidRDefault="0070273F" w:rsidP="00E6041F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0273F" w:rsidRPr="0070273F" w:rsidRDefault="0070273F" w:rsidP="00E6041F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proofErr w:type="gramStart"/>
      <w:r w:rsidRPr="0070273F">
        <w:rPr>
          <w:rFonts w:asciiTheme="minorHAnsi" w:hAnsiTheme="minorHAnsi" w:cstheme="minorHAnsi"/>
          <w:sz w:val="28"/>
          <w:szCs w:val="28"/>
        </w:rPr>
        <w:t>Předmět</w:t>
      </w:r>
      <w:r w:rsidRPr="0070273F">
        <w:rPr>
          <w:rFonts w:asciiTheme="minorHAnsi" w:hAnsiTheme="minorHAnsi" w:cstheme="minorHAnsi"/>
        </w:rPr>
        <w:t xml:space="preserve">:   </w:t>
      </w:r>
      <w:proofErr w:type="gramEnd"/>
      <w:r w:rsidRPr="0070273F">
        <w:rPr>
          <w:rFonts w:asciiTheme="minorHAnsi" w:hAnsiTheme="minorHAnsi" w:cstheme="minorHAnsi"/>
        </w:rPr>
        <w:t xml:space="preserve">       </w:t>
      </w:r>
      <w:r w:rsidRPr="0070273F">
        <w:rPr>
          <w:rFonts w:asciiTheme="minorHAnsi" w:eastAsiaTheme="minorEastAsia" w:hAnsiTheme="minorHAnsi" w:cstheme="minorHAnsi"/>
          <w:color w:val="000000" w:themeColor="text1"/>
          <w:kern w:val="24"/>
          <w:sz w:val="56"/>
          <w:szCs w:val="56"/>
          <w:lang w:eastAsia="en-US"/>
        </w:rPr>
        <w:t xml:space="preserve">                                      </w:t>
      </w:r>
      <w:r w:rsidRPr="0070273F">
        <w:rPr>
          <w:rFonts w:asciiTheme="minorHAnsi" w:hAnsiTheme="minorHAnsi" w:cstheme="minorHAnsi"/>
          <w:sz w:val="28"/>
          <w:szCs w:val="28"/>
        </w:rPr>
        <w:t>Vypracoval:</w:t>
      </w:r>
    </w:p>
    <w:p w:rsidR="0070273F" w:rsidRPr="0070273F" w:rsidRDefault="000E08AF" w:rsidP="00E6041F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hyperlink r:id="rId6" w:history="1">
        <w:proofErr w:type="spellStart"/>
        <w:r w:rsidR="0070273F" w:rsidRPr="0070273F">
          <w:rPr>
            <w:rFonts w:asciiTheme="minorHAnsi" w:hAnsiTheme="minorHAnsi" w:cstheme="minorHAnsi"/>
            <w:sz w:val="28"/>
            <w:szCs w:val="28"/>
          </w:rPr>
          <w:t>PdF</w:t>
        </w:r>
        <w:proofErr w:type="spellEnd"/>
        <w:r w:rsidR="0070273F" w:rsidRPr="0070273F">
          <w:rPr>
            <w:rFonts w:asciiTheme="minorHAnsi" w:hAnsiTheme="minorHAnsi" w:cstheme="minorHAnsi"/>
            <w:sz w:val="28"/>
            <w:szCs w:val="28"/>
          </w:rPr>
          <w:t>: OVp113</w:t>
        </w:r>
      </w:hyperlink>
      <w:r w:rsidR="0070273F" w:rsidRPr="0070273F">
        <w:rPr>
          <w:rFonts w:asciiTheme="minorHAnsi" w:hAnsiTheme="minorHAnsi" w:cstheme="minorHAnsi"/>
          <w:sz w:val="28"/>
          <w:szCs w:val="28"/>
        </w:rPr>
        <w:t> Mezinárodní vztahy-seminář                          Bc. Martin Jelínek</w:t>
      </w:r>
    </w:p>
    <w:p w:rsidR="00AD6A4A" w:rsidRDefault="000E08AF" w:rsidP="00E6041F">
      <w:pPr>
        <w:spacing w:line="276" w:lineRule="auto"/>
      </w:pPr>
    </w:p>
    <w:p w:rsidR="0070273F" w:rsidRDefault="0070273F" w:rsidP="00E6041F">
      <w:pPr>
        <w:spacing w:line="276" w:lineRule="auto"/>
        <w:rPr>
          <w:rFonts w:asciiTheme="minorHAnsi" w:hAnsiTheme="minorHAnsi" w:cstheme="minorHAnsi"/>
          <w:b/>
          <w:sz w:val="28"/>
        </w:rPr>
      </w:pPr>
      <w:r w:rsidRPr="0070273F">
        <w:rPr>
          <w:rFonts w:asciiTheme="minorHAnsi" w:hAnsiTheme="minorHAnsi" w:cstheme="minorHAnsi"/>
          <w:b/>
          <w:sz w:val="28"/>
        </w:rPr>
        <w:t>Úvod</w:t>
      </w:r>
    </w:p>
    <w:p w:rsidR="00BA3243" w:rsidRDefault="003F5E8B" w:rsidP="00E6041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Jak to vlastně celé začalo? Mluví se o souhře spousty faktorů, které se sloučili dohromady. Jedním z nich je historické postavení Velké Británie jako suverénní mocnosti, která se najednou ocitla v Evropské unii, do které více investovala, než z ní dostávala. Propaganda </w:t>
      </w:r>
      <w:proofErr w:type="spellStart"/>
      <w:r>
        <w:rPr>
          <w:rFonts w:asciiTheme="minorHAnsi" w:hAnsiTheme="minorHAnsi" w:cstheme="minorHAnsi"/>
        </w:rPr>
        <w:t>brexitu</w:t>
      </w:r>
      <w:proofErr w:type="spellEnd"/>
      <w:r>
        <w:rPr>
          <w:rFonts w:asciiTheme="minorHAnsi" w:hAnsiTheme="minorHAnsi" w:cstheme="minorHAnsi"/>
        </w:rPr>
        <w:t xml:space="preserve"> mluvila dokonce až o 350 milionech liber týdně, které členství UK v EU stojí. Dalším tématem byla migrace, přičemž i toto téma je napojeno na EU, protože UK díky ní neměla migrační politiku ve svých rukou a díky EU nemohla ovlivnit příliv migrantů do své země</w:t>
      </w:r>
      <w:r w:rsidR="00E6041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což se spoustě obyvatel nezamlouvá. </w:t>
      </w:r>
    </w:p>
    <w:p w:rsidR="001F5931" w:rsidRDefault="001F5931" w:rsidP="00E6041F">
      <w:pPr>
        <w:spacing w:line="276" w:lineRule="auto"/>
        <w:jc w:val="both"/>
        <w:rPr>
          <w:rFonts w:asciiTheme="minorHAnsi" w:hAnsiTheme="minorHAnsi" w:cstheme="minorHAnsi"/>
        </w:rPr>
      </w:pPr>
    </w:p>
    <w:p w:rsidR="007E194E" w:rsidRDefault="003F5E8B" w:rsidP="00E6041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Výraznou roli hráli samozřejmě i politici. Tu největší nejspíše David </w:t>
      </w:r>
      <w:proofErr w:type="spellStart"/>
      <w:r>
        <w:rPr>
          <w:rFonts w:asciiTheme="minorHAnsi" w:hAnsiTheme="minorHAnsi" w:cstheme="minorHAnsi"/>
        </w:rPr>
        <w:t>Cameron</w:t>
      </w:r>
      <w:proofErr w:type="spellEnd"/>
      <w:r>
        <w:rPr>
          <w:rFonts w:asciiTheme="minorHAnsi" w:hAnsiTheme="minorHAnsi" w:cstheme="minorHAnsi"/>
        </w:rPr>
        <w:t xml:space="preserve">, který v roce 2015 vyhrává volby a prohlašuje, že dá občanům možnost rozhodnout v referendu, zda </w:t>
      </w:r>
      <w:proofErr w:type="spellStart"/>
      <w:r>
        <w:rPr>
          <w:rFonts w:asciiTheme="minorHAnsi" w:hAnsiTheme="minorHAnsi" w:cstheme="minorHAnsi"/>
        </w:rPr>
        <w:t>brexit</w:t>
      </w:r>
      <w:proofErr w:type="spellEnd"/>
      <w:r>
        <w:rPr>
          <w:rFonts w:asciiTheme="minorHAnsi" w:hAnsiTheme="minorHAnsi" w:cstheme="minorHAnsi"/>
        </w:rPr>
        <w:t xml:space="preserve"> chtějí, či ne i přesto, že on sám je proti </w:t>
      </w:r>
      <w:proofErr w:type="spellStart"/>
      <w:r>
        <w:rPr>
          <w:rFonts w:asciiTheme="minorHAnsi" w:hAnsiTheme="minorHAnsi" w:cstheme="minorHAnsi"/>
        </w:rPr>
        <w:t>brexitu</w:t>
      </w:r>
      <w:proofErr w:type="spellEnd"/>
      <w:r>
        <w:rPr>
          <w:rFonts w:asciiTheme="minorHAnsi" w:hAnsiTheme="minorHAnsi" w:cstheme="minorHAnsi"/>
        </w:rPr>
        <w:t>. Krom něj výraznou roli sehráli i m</w:t>
      </w:r>
      <w:r w:rsidRPr="003F5E8B">
        <w:rPr>
          <w:rFonts w:asciiTheme="minorHAnsi" w:hAnsiTheme="minorHAnsi" w:cstheme="minorHAnsi"/>
        </w:rPr>
        <w:t xml:space="preserve">inistr spravedlnosti Michael </w:t>
      </w:r>
      <w:proofErr w:type="spellStart"/>
      <w:r w:rsidRPr="003F5E8B">
        <w:rPr>
          <w:rFonts w:asciiTheme="minorHAnsi" w:hAnsiTheme="minorHAnsi" w:cstheme="minorHAnsi"/>
        </w:rPr>
        <w:t>Gove</w:t>
      </w:r>
      <w:proofErr w:type="spellEnd"/>
      <w:r w:rsidR="007E194E">
        <w:rPr>
          <w:rFonts w:asciiTheme="minorHAnsi" w:hAnsiTheme="minorHAnsi" w:cstheme="minorHAnsi"/>
        </w:rPr>
        <w:t>, který</w:t>
      </w:r>
      <w:r w:rsidRPr="003F5E8B">
        <w:rPr>
          <w:rFonts w:asciiTheme="minorHAnsi" w:hAnsiTheme="minorHAnsi" w:cstheme="minorHAnsi"/>
        </w:rPr>
        <w:t xml:space="preserve"> se podílel na přípravě manifestu kampaně </w:t>
      </w:r>
      <w:r w:rsidR="007E194E">
        <w:rPr>
          <w:rFonts w:asciiTheme="minorHAnsi" w:hAnsiTheme="minorHAnsi" w:cstheme="minorHAnsi"/>
        </w:rPr>
        <w:t>za „</w:t>
      </w:r>
      <w:proofErr w:type="spellStart"/>
      <w:r w:rsidR="007E194E">
        <w:rPr>
          <w:rFonts w:asciiTheme="minorHAnsi" w:hAnsiTheme="minorHAnsi" w:cstheme="minorHAnsi"/>
        </w:rPr>
        <w:t>Vote</w:t>
      </w:r>
      <w:proofErr w:type="spellEnd"/>
      <w:r w:rsidR="007E194E">
        <w:rPr>
          <w:rFonts w:asciiTheme="minorHAnsi" w:hAnsiTheme="minorHAnsi" w:cstheme="minorHAnsi"/>
        </w:rPr>
        <w:t xml:space="preserve"> </w:t>
      </w:r>
      <w:proofErr w:type="spellStart"/>
      <w:r w:rsidR="007E194E">
        <w:rPr>
          <w:rFonts w:asciiTheme="minorHAnsi" w:hAnsiTheme="minorHAnsi" w:cstheme="minorHAnsi"/>
        </w:rPr>
        <w:t>leave</w:t>
      </w:r>
      <w:proofErr w:type="spellEnd"/>
      <w:r w:rsidR="007E194E">
        <w:rPr>
          <w:rFonts w:asciiTheme="minorHAnsi" w:hAnsiTheme="minorHAnsi" w:cstheme="minorHAnsi"/>
        </w:rPr>
        <w:t xml:space="preserve">“ </w:t>
      </w:r>
      <w:r w:rsidRPr="003F5E8B">
        <w:rPr>
          <w:rFonts w:asciiTheme="minorHAnsi" w:hAnsiTheme="minorHAnsi" w:cstheme="minorHAnsi"/>
        </w:rPr>
        <w:t>a diskutoval s voliči v televizních debatách, Boris Johnson zase křižoval Británii v bitevním autobuse a přesvědčoval davy po celé zemi</w:t>
      </w:r>
      <w:r w:rsidR="007E194E">
        <w:rPr>
          <w:rFonts w:asciiTheme="minorHAnsi" w:hAnsiTheme="minorHAnsi" w:cstheme="minorHAnsi"/>
        </w:rPr>
        <w:t xml:space="preserve"> pro volbu </w:t>
      </w:r>
      <w:proofErr w:type="spellStart"/>
      <w:r w:rsidR="007E194E">
        <w:rPr>
          <w:rFonts w:asciiTheme="minorHAnsi" w:hAnsiTheme="minorHAnsi" w:cstheme="minorHAnsi"/>
        </w:rPr>
        <w:t>brexitu</w:t>
      </w:r>
      <w:proofErr w:type="spellEnd"/>
      <w:r w:rsidRPr="003F5E8B">
        <w:rPr>
          <w:rFonts w:asciiTheme="minorHAnsi" w:hAnsiTheme="minorHAnsi" w:cstheme="minorHAnsi"/>
        </w:rPr>
        <w:t>.</w:t>
      </w:r>
      <w:r w:rsidR="00E6041F">
        <w:rPr>
          <w:rFonts w:asciiTheme="minorHAnsi" w:hAnsiTheme="minorHAnsi" w:cstheme="minorHAnsi"/>
        </w:rPr>
        <w:t xml:space="preserve"> </w:t>
      </w:r>
      <w:r w:rsidR="007E194E" w:rsidRPr="007E194E">
        <w:rPr>
          <w:rFonts w:asciiTheme="minorHAnsi" w:hAnsiTheme="minorHAnsi" w:cstheme="minorHAnsi"/>
        </w:rPr>
        <w:t>(NETRVALOVÁ, Sabina. </w:t>
      </w:r>
      <w:r w:rsidR="007E194E" w:rsidRPr="007E194E">
        <w:rPr>
          <w:rFonts w:asciiTheme="minorHAnsi" w:hAnsiTheme="minorHAnsi" w:cstheme="minorHAnsi"/>
          <w:i/>
        </w:rPr>
        <w:t>Co rozhodlo britské referendum? Penzisté, migrace i selhání labouristů</w:t>
      </w:r>
      <w:r w:rsidR="007E194E" w:rsidRPr="007E194E">
        <w:rPr>
          <w:rFonts w:asciiTheme="minorHAnsi" w:hAnsiTheme="minorHAnsi" w:cstheme="minorHAnsi"/>
        </w:rPr>
        <w:t> [online].)</w:t>
      </w:r>
    </w:p>
    <w:p w:rsidR="007E194E" w:rsidRDefault="007E194E" w:rsidP="00E6041F">
      <w:pPr>
        <w:spacing w:line="276" w:lineRule="auto"/>
        <w:jc w:val="both"/>
        <w:rPr>
          <w:rFonts w:asciiTheme="minorHAnsi" w:hAnsiTheme="minorHAnsi" w:cstheme="minorHAnsi"/>
        </w:rPr>
      </w:pPr>
    </w:p>
    <w:p w:rsidR="007E194E" w:rsidRPr="007E194E" w:rsidRDefault="007E194E" w:rsidP="00E6041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8"/>
        </w:rPr>
      </w:pPr>
      <w:r w:rsidRPr="007E194E">
        <w:rPr>
          <w:rFonts w:asciiTheme="minorHAnsi" w:hAnsiTheme="minorHAnsi" w:cstheme="minorHAnsi"/>
          <w:b/>
          <w:sz w:val="28"/>
        </w:rPr>
        <w:t>Referendum</w:t>
      </w:r>
    </w:p>
    <w:p w:rsidR="00C304E3" w:rsidRDefault="00B6314A" w:rsidP="00E6041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Referendum proběhlo 23.května 2016. Účast byla obrovská a to </w:t>
      </w:r>
      <w:proofErr w:type="gramStart"/>
      <w:r>
        <w:rPr>
          <w:rFonts w:asciiTheme="minorHAnsi" w:hAnsiTheme="minorHAnsi" w:cstheme="minorHAnsi"/>
        </w:rPr>
        <w:t>72%</w:t>
      </w:r>
      <w:proofErr w:type="gramEnd"/>
      <w:r>
        <w:rPr>
          <w:rFonts w:asciiTheme="minorHAnsi" w:hAnsiTheme="minorHAnsi" w:cstheme="minorHAnsi"/>
        </w:rPr>
        <w:t xml:space="preserve"> voličů</w:t>
      </w:r>
      <w:r w:rsidR="00C304E3">
        <w:rPr>
          <w:rFonts w:asciiTheme="minorHAnsi" w:hAnsiTheme="minorHAnsi" w:cstheme="minorHAnsi"/>
        </w:rPr>
        <w:t xml:space="preserve">, což svědčí o tom jak velký o to byl zájem mezi obyvateli UK. Výsledek byl velmi těsný a někteří novináři jej v titulcích přirovnávali ke statistické chybě, kdy rozhodlo cca 600 tisíc hlasů. </w:t>
      </w:r>
      <w:proofErr w:type="gramStart"/>
      <w:r w:rsidR="00C304E3">
        <w:rPr>
          <w:rFonts w:asciiTheme="minorHAnsi" w:hAnsiTheme="minorHAnsi" w:cstheme="minorHAnsi"/>
        </w:rPr>
        <w:t>51,9%</w:t>
      </w:r>
      <w:proofErr w:type="gramEnd"/>
      <w:r w:rsidR="00C304E3">
        <w:rPr>
          <w:rFonts w:asciiTheme="minorHAnsi" w:hAnsiTheme="minorHAnsi" w:cstheme="minorHAnsi"/>
        </w:rPr>
        <w:t xml:space="preserve"> hlasovalo pro volbu „</w:t>
      </w:r>
      <w:proofErr w:type="spellStart"/>
      <w:r w:rsidR="00C304E3">
        <w:rPr>
          <w:rFonts w:asciiTheme="minorHAnsi" w:hAnsiTheme="minorHAnsi" w:cstheme="minorHAnsi"/>
        </w:rPr>
        <w:t>leave</w:t>
      </w:r>
      <w:proofErr w:type="spellEnd"/>
      <w:r w:rsidR="00C304E3">
        <w:rPr>
          <w:rFonts w:asciiTheme="minorHAnsi" w:hAnsiTheme="minorHAnsi" w:cstheme="minorHAnsi"/>
        </w:rPr>
        <w:t>“ tedy odchod z EU. Referendum bylo však jen „de iure“ tedy mělo jen poradní váhu a muselo projít složitým schvalováním. Po</w:t>
      </w:r>
      <w:r w:rsidR="00C304E3" w:rsidRPr="00C304E3">
        <w:rPr>
          <w:rFonts w:asciiTheme="minorHAnsi" w:hAnsiTheme="minorHAnsi" w:cstheme="minorHAnsi"/>
        </w:rPr>
        <w:t>dle rozhodnutí britského nejvyššího soudu musel o vystoupení z Evropské unie rozhodnout britský parlament</w:t>
      </w:r>
      <w:r w:rsidR="00C304E3">
        <w:rPr>
          <w:rFonts w:asciiTheme="minorHAnsi" w:hAnsiTheme="minorHAnsi" w:cstheme="minorHAnsi"/>
        </w:rPr>
        <w:t xml:space="preserve">. </w:t>
      </w:r>
      <w:r w:rsidR="00C304E3" w:rsidRPr="00C304E3">
        <w:rPr>
          <w:rFonts w:asciiTheme="minorHAnsi" w:hAnsiTheme="minorHAnsi" w:cstheme="minorHAnsi"/>
        </w:rPr>
        <w:t xml:space="preserve">Poté </w:t>
      </w:r>
      <w:r w:rsidR="00C304E3">
        <w:rPr>
          <w:rFonts w:asciiTheme="minorHAnsi" w:hAnsiTheme="minorHAnsi" w:cstheme="minorHAnsi"/>
        </w:rPr>
        <w:t xml:space="preserve">musela </w:t>
      </w:r>
      <w:r w:rsidR="00C304E3" w:rsidRPr="00C304E3">
        <w:rPr>
          <w:rFonts w:asciiTheme="minorHAnsi" w:hAnsiTheme="minorHAnsi" w:cstheme="minorHAnsi"/>
        </w:rPr>
        <w:t xml:space="preserve">Británie </w:t>
      </w:r>
      <w:r w:rsidR="00C304E3">
        <w:rPr>
          <w:rFonts w:asciiTheme="minorHAnsi" w:hAnsiTheme="minorHAnsi" w:cstheme="minorHAnsi"/>
        </w:rPr>
        <w:t>po</w:t>
      </w:r>
      <w:r w:rsidR="00C304E3" w:rsidRPr="00C304E3">
        <w:rPr>
          <w:rFonts w:asciiTheme="minorHAnsi" w:hAnsiTheme="minorHAnsi" w:cstheme="minorHAnsi"/>
        </w:rPr>
        <w:t>žád</w:t>
      </w:r>
      <w:r w:rsidR="00C304E3">
        <w:rPr>
          <w:rFonts w:asciiTheme="minorHAnsi" w:hAnsiTheme="minorHAnsi" w:cstheme="minorHAnsi"/>
        </w:rPr>
        <w:t>at</w:t>
      </w:r>
      <w:r w:rsidR="00C304E3" w:rsidRPr="00C304E3">
        <w:rPr>
          <w:rFonts w:asciiTheme="minorHAnsi" w:hAnsiTheme="minorHAnsi" w:cstheme="minorHAnsi"/>
        </w:rPr>
        <w:t xml:space="preserve"> Evropskou unii na základě článku 50 Lisabonské smlouvy</w:t>
      </w:r>
      <w:r w:rsidR="00C304E3">
        <w:rPr>
          <w:rFonts w:asciiTheme="minorHAnsi" w:hAnsiTheme="minorHAnsi" w:cstheme="minorHAnsi"/>
        </w:rPr>
        <w:t>, která</w:t>
      </w:r>
      <w:r w:rsidR="00C304E3" w:rsidRPr="00C304E3">
        <w:rPr>
          <w:rFonts w:asciiTheme="minorHAnsi" w:hAnsiTheme="minorHAnsi" w:cstheme="minorHAnsi"/>
        </w:rPr>
        <w:t xml:space="preserve"> předpokládá maximálně dvouletou lhůtu pro dojednání podmínek a ukončení členství.</w:t>
      </w:r>
      <w:r w:rsidR="00C304E3">
        <w:rPr>
          <w:rFonts w:asciiTheme="minorHAnsi" w:hAnsiTheme="minorHAnsi" w:cstheme="minorHAnsi"/>
        </w:rPr>
        <w:t xml:space="preserve"> Proces schvalování trval do </w:t>
      </w:r>
      <w:r w:rsidR="00C304E3" w:rsidRPr="00C304E3">
        <w:rPr>
          <w:rFonts w:asciiTheme="minorHAnsi" w:hAnsiTheme="minorHAnsi" w:cstheme="minorHAnsi"/>
        </w:rPr>
        <w:t>29. března 2017</w:t>
      </w:r>
      <w:r w:rsidR="00C304E3">
        <w:rPr>
          <w:rFonts w:asciiTheme="minorHAnsi" w:hAnsiTheme="minorHAnsi" w:cstheme="minorHAnsi"/>
        </w:rPr>
        <w:t xml:space="preserve"> kdy byla aktivována dvouletá lhůta odchodu.</w:t>
      </w:r>
      <w:r w:rsidR="00C304E3" w:rsidRPr="00C304E3">
        <w:rPr>
          <w:rFonts w:asciiTheme="minorHAnsi" w:hAnsiTheme="minorHAnsi" w:cstheme="minorHAnsi"/>
        </w:rPr>
        <w:t xml:space="preserve"> </w:t>
      </w:r>
      <w:r w:rsidR="00C304E3">
        <w:rPr>
          <w:rFonts w:asciiTheme="minorHAnsi" w:hAnsiTheme="minorHAnsi" w:cstheme="minorHAnsi"/>
        </w:rPr>
        <w:t>O</w:t>
      </w:r>
      <w:r w:rsidR="00C304E3" w:rsidRPr="00C304E3">
        <w:rPr>
          <w:rFonts w:asciiTheme="minorHAnsi" w:hAnsiTheme="minorHAnsi" w:cstheme="minorHAnsi"/>
        </w:rPr>
        <w:t>kamžik odchodu byl stanoven na 29. března 2019</w:t>
      </w:r>
      <w:r w:rsidR="00C304E3">
        <w:rPr>
          <w:rFonts w:asciiTheme="minorHAnsi" w:hAnsiTheme="minorHAnsi" w:cstheme="minorHAnsi"/>
        </w:rPr>
        <w:t xml:space="preserve">. </w:t>
      </w:r>
      <w:r w:rsidR="00F20904" w:rsidRPr="00F20904">
        <w:rPr>
          <w:rFonts w:asciiTheme="minorHAnsi" w:hAnsiTheme="minorHAnsi" w:cstheme="minorHAnsi"/>
          <w:color w:val="000000" w:themeColor="text1"/>
        </w:rPr>
        <w:t>(</w:t>
      </w:r>
      <w:r w:rsidR="00F20904" w:rsidRPr="00F20904">
        <w:rPr>
          <w:rFonts w:asciiTheme="minorHAnsi" w:hAnsiTheme="minorHAnsi" w:cstheme="minorHAnsi"/>
          <w:color w:val="000000" w:themeColor="text1"/>
          <w:shd w:val="clear" w:color="auto" w:fill="FFFFFF"/>
        </w:rPr>
        <w:t>WIRNITZER, Jan a Michal BĚLKA. </w:t>
      </w:r>
      <w:r w:rsidR="00F20904" w:rsidRPr="00F20904">
        <w:rPr>
          <w:rFonts w:asciiTheme="minorHAnsi" w:hAnsiTheme="minorHAnsi" w:cstheme="minorHAnsi"/>
          <w:i/>
          <w:iCs/>
          <w:color w:val="000000" w:themeColor="text1"/>
        </w:rPr>
        <w:t>Británie jako první země opustí EU. Pro odchod bylo 51,9 % voličů</w:t>
      </w:r>
      <w:r w:rsidR="00F20904" w:rsidRPr="00F20904">
        <w:rPr>
          <w:rFonts w:asciiTheme="minorHAnsi" w:hAnsiTheme="minorHAnsi" w:cstheme="minorHAnsi"/>
          <w:color w:val="000000" w:themeColor="text1"/>
          <w:shd w:val="clear" w:color="auto" w:fill="FFFFFF"/>
        </w:rPr>
        <w:t> [online].)</w:t>
      </w:r>
    </w:p>
    <w:p w:rsidR="004A43ED" w:rsidRDefault="004A43ED" w:rsidP="00E6041F">
      <w:pPr>
        <w:spacing w:line="276" w:lineRule="auto"/>
        <w:jc w:val="both"/>
        <w:rPr>
          <w:rFonts w:asciiTheme="minorHAnsi" w:hAnsiTheme="minorHAnsi" w:cstheme="minorHAnsi"/>
        </w:rPr>
      </w:pPr>
    </w:p>
    <w:p w:rsidR="007E194E" w:rsidRDefault="007E194E" w:rsidP="00E6041F">
      <w:pPr>
        <w:spacing w:line="276" w:lineRule="auto"/>
        <w:jc w:val="both"/>
        <w:rPr>
          <w:rFonts w:asciiTheme="minorHAnsi" w:hAnsiTheme="minorHAnsi" w:cstheme="minorHAnsi"/>
        </w:rPr>
      </w:pPr>
    </w:p>
    <w:p w:rsidR="00F20904" w:rsidRDefault="004542F6" w:rsidP="00E6041F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>
            <wp:extent cx="4259179" cy="3796429"/>
            <wp:effectExtent l="0" t="0" r="0" b="1270"/>
            <wp:docPr id="1" name="Obrázek 1" descr="Obsah obrázku text, mapa&#10;&#10;&#10;&#10;Popis se vygeneroval automatick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exi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654" cy="379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904" w:rsidRDefault="00F20904" w:rsidP="00E6041F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F20904" w:rsidRPr="004542F6" w:rsidRDefault="00F20904" w:rsidP="00E6041F">
      <w:pPr>
        <w:spacing w:line="276" w:lineRule="auto"/>
        <w:jc w:val="both"/>
        <w:rPr>
          <w:rFonts w:asciiTheme="minorHAnsi" w:hAnsiTheme="minorHAnsi" w:cstheme="minorHAnsi"/>
          <w:sz w:val="18"/>
        </w:rPr>
      </w:pPr>
      <w:r w:rsidRPr="004542F6">
        <w:rPr>
          <w:rFonts w:asciiTheme="minorHAnsi" w:hAnsiTheme="minorHAnsi" w:cstheme="minorHAnsi"/>
          <w:sz w:val="18"/>
        </w:rPr>
        <w:t xml:space="preserve">Obr. 1 – Výsledná mapa </w:t>
      </w:r>
      <w:proofErr w:type="spellStart"/>
      <w:r w:rsidRPr="004542F6">
        <w:rPr>
          <w:rFonts w:asciiTheme="minorHAnsi" w:hAnsiTheme="minorHAnsi" w:cstheme="minorHAnsi"/>
          <w:sz w:val="18"/>
        </w:rPr>
        <w:t>brexitu</w:t>
      </w:r>
      <w:proofErr w:type="spellEnd"/>
      <w:r w:rsidR="004542F6" w:rsidRPr="004542F6">
        <w:rPr>
          <w:rFonts w:asciiTheme="minorHAnsi" w:hAnsiTheme="minorHAnsi" w:cstheme="minorHAnsi"/>
          <w:sz w:val="18"/>
        </w:rPr>
        <w:t>, zdroj: https://twitter.com/nytimes/status/746225481490436096/photo/1</w:t>
      </w:r>
    </w:p>
    <w:p w:rsidR="00F20904" w:rsidRDefault="00F20904" w:rsidP="00E6041F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F20904" w:rsidRDefault="00764D47" w:rsidP="00E6041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obr. 1 můžeme vidět rozložení voličů pro a proti </w:t>
      </w:r>
      <w:proofErr w:type="spellStart"/>
      <w:r>
        <w:rPr>
          <w:rFonts w:asciiTheme="minorHAnsi" w:hAnsiTheme="minorHAnsi" w:cstheme="minorHAnsi"/>
        </w:rPr>
        <w:t>brexitu</w:t>
      </w:r>
      <w:proofErr w:type="spellEnd"/>
      <w:r>
        <w:rPr>
          <w:rFonts w:asciiTheme="minorHAnsi" w:hAnsiTheme="minorHAnsi" w:cstheme="minorHAnsi"/>
        </w:rPr>
        <w:t>.</w:t>
      </w:r>
      <w:r w:rsidR="004542F6">
        <w:rPr>
          <w:rFonts w:asciiTheme="minorHAnsi" w:hAnsiTheme="minorHAnsi" w:cstheme="minorHAnsi"/>
        </w:rPr>
        <w:t xml:space="preserve"> Z mapy plyne, že pro setrvání v EU byli hlavně voliči ze Skotska, Severního Irska a Londýna, zatímco zbytek UK byl spíše pro odchod z EU. Z mapy výsledků lze ještě vidět, že průmyslové části měst Liverpool a Manchester byly také pro setrvání v EU, zbytek města však ne, nebo že univerzitní města Oxford a Cambridge byla také pro setrvání v EU.</w:t>
      </w:r>
    </w:p>
    <w:p w:rsidR="004542F6" w:rsidRDefault="004542F6" w:rsidP="00E6041F">
      <w:pPr>
        <w:spacing w:line="276" w:lineRule="auto"/>
        <w:jc w:val="both"/>
        <w:rPr>
          <w:rFonts w:asciiTheme="minorHAnsi" w:hAnsiTheme="minorHAnsi" w:cstheme="minorHAnsi"/>
        </w:rPr>
      </w:pPr>
    </w:p>
    <w:p w:rsidR="004542F6" w:rsidRPr="004542F6" w:rsidRDefault="004542F6" w:rsidP="00E6041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8"/>
        </w:rPr>
      </w:pPr>
      <w:r w:rsidRPr="004542F6">
        <w:rPr>
          <w:rFonts w:asciiTheme="minorHAnsi" w:hAnsiTheme="minorHAnsi" w:cstheme="minorHAnsi"/>
          <w:b/>
          <w:sz w:val="28"/>
        </w:rPr>
        <w:t>Ovlivnění ekonomiky</w:t>
      </w:r>
    </w:p>
    <w:p w:rsidR="00F20904" w:rsidRDefault="005A7B70" w:rsidP="00E6041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Zatím nelze úplně odhadnout jaké dopady odchod na ekonomiku UK bude </w:t>
      </w:r>
      <w:proofErr w:type="spellStart"/>
      <w:r>
        <w:rPr>
          <w:rFonts w:asciiTheme="minorHAnsi" w:hAnsiTheme="minorHAnsi" w:cstheme="minorHAnsi"/>
        </w:rPr>
        <w:t>brexit</w:t>
      </w:r>
      <w:proofErr w:type="spellEnd"/>
      <w:r>
        <w:rPr>
          <w:rFonts w:asciiTheme="minorHAnsi" w:hAnsiTheme="minorHAnsi" w:cstheme="minorHAnsi"/>
        </w:rPr>
        <w:t xml:space="preserve"> mít. Zatím se však nepotvrzují nejčernější scénáře </w:t>
      </w:r>
      <w:r w:rsidR="00E6041F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rychlém propadu kurzu libry</w:t>
      </w:r>
      <w:r w:rsidR="00E6041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E6041F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urz</w:t>
      </w:r>
      <w:r w:rsidR="00E6041F">
        <w:rPr>
          <w:rFonts w:asciiTheme="minorHAnsi" w:hAnsiTheme="minorHAnsi" w:cstheme="minorHAnsi"/>
        </w:rPr>
        <w:t xml:space="preserve"> se dokonce</w:t>
      </w:r>
      <w:r>
        <w:rPr>
          <w:rFonts w:asciiTheme="minorHAnsi" w:hAnsiTheme="minorHAnsi" w:cstheme="minorHAnsi"/>
        </w:rPr>
        <w:t xml:space="preserve"> po roce a půl skoro vrátil zpět na původní hodnotu. Problém je však odchod velkých firem, které přesouvají své sídlo do jiných zemí EU. Z velkých firem již v roce 2017 ohlásil</w:t>
      </w:r>
      <w:r w:rsidR="00E31821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odchod</w:t>
      </w:r>
      <w:r w:rsidR="00E31821">
        <w:rPr>
          <w:rFonts w:asciiTheme="minorHAnsi" w:hAnsiTheme="minorHAnsi" w:cstheme="minorHAnsi"/>
        </w:rPr>
        <w:t xml:space="preserve"> firmy – </w:t>
      </w:r>
      <w:proofErr w:type="spellStart"/>
      <w:r w:rsidR="00E31821">
        <w:rPr>
          <w:rFonts w:asciiTheme="minorHAnsi" w:hAnsiTheme="minorHAnsi" w:cstheme="minorHAnsi"/>
        </w:rPr>
        <w:t>EasyJet</w:t>
      </w:r>
      <w:proofErr w:type="spellEnd"/>
      <w:r w:rsidR="00E31821">
        <w:rPr>
          <w:rFonts w:asciiTheme="minorHAnsi" w:hAnsiTheme="minorHAnsi" w:cstheme="minorHAnsi"/>
        </w:rPr>
        <w:t xml:space="preserve"> (letecký dopravce), </w:t>
      </w:r>
      <w:proofErr w:type="spellStart"/>
      <w:r w:rsidR="00E31821">
        <w:rPr>
          <w:rFonts w:asciiTheme="minorHAnsi" w:hAnsiTheme="minorHAnsi" w:cstheme="minorHAnsi"/>
        </w:rPr>
        <w:t>Diageo</w:t>
      </w:r>
      <w:proofErr w:type="spellEnd"/>
      <w:r w:rsidR="00E31821">
        <w:rPr>
          <w:rFonts w:asciiTheme="minorHAnsi" w:hAnsiTheme="minorHAnsi" w:cstheme="minorHAnsi"/>
        </w:rPr>
        <w:t xml:space="preserve"> (výrobce alkoholických nápojů), </w:t>
      </w:r>
      <w:proofErr w:type="spellStart"/>
      <w:r w:rsidR="00E31821">
        <w:rPr>
          <w:rFonts w:asciiTheme="minorHAnsi" w:hAnsiTheme="minorHAnsi" w:cstheme="minorHAnsi"/>
        </w:rPr>
        <w:t>Goldman</w:t>
      </w:r>
      <w:proofErr w:type="spellEnd"/>
      <w:r w:rsidR="00E31821">
        <w:rPr>
          <w:rFonts w:asciiTheme="minorHAnsi" w:hAnsiTheme="minorHAnsi" w:cstheme="minorHAnsi"/>
        </w:rPr>
        <w:t xml:space="preserve"> </w:t>
      </w:r>
      <w:proofErr w:type="spellStart"/>
      <w:r w:rsidR="00E31821">
        <w:rPr>
          <w:rFonts w:asciiTheme="minorHAnsi" w:hAnsiTheme="minorHAnsi" w:cstheme="minorHAnsi"/>
        </w:rPr>
        <w:t>Sachs</w:t>
      </w:r>
      <w:proofErr w:type="spellEnd"/>
      <w:r w:rsidR="00E31821">
        <w:rPr>
          <w:rFonts w:asciiTheme="minorHAnsi" w:hAnsiTheme="minorHAnsi" w:cstheme="minorHAnsi"/>
        </w:rPr>
        <w:t xml:space="preserve"> (poradenská společnost), </w:t>
      </w:r>
      <w:proofErr w:type="spellStart"/>
      <w:r w:rsidR="00E31821">
        <w:rPr>
          <w:rFonts w:asciiTheme="minorHAnsi" w:hAnsiTheme="minorHAnsi" w:cstheme="minorHAnsi"/>
        </w:rPr>
        <w:t>Deutche</w:t>
      </w:r>
      <w:proofErr w:type="spellEnd"/>
      <w:r w:rsidR="00E31821">
        <w:rPr>
          <w:rFonts w:asciiTheme="minorHAnsi" w:hAnsiTheme="minorHAnsi" w:cstheme="minorHAnsi"/>
        </w:rPr>
        <w:t xml:space="preserve"> Bank (banka) a </w:t>
      </w:r>
      <w:proofErr w:type="spellStart"/>
      <w:r w:rsidR="00E31821">
        <w:rPr>
          <w:rFonts w:asciiTheme="minorHAnsi" w:hAnsiTheme="minorHAnsi" w:cstheme="minorHAnsi"/>
        </w:rPr>
        <w:t>Barclays</w:t>
      </w:r>
      <w:proofErr w:type="spellEnd"/>
      <w:r w:rsidR="00E31821">
        <w:rPr>
          <w:rFonts w:asciiTheme="minorHAnsi" w:hAnsiTheme="minorHAnsi" w:cstheme="minorHAnsi"/>
        </w:rPr>
        <w:t xml:space="preserve"> (banka). Jen těchto pět firem zaměstnávalo v UK skoro 300 000 zaměstnanců a mělo roční obrat přesahující 100 miliard dolarů.</w:t>
      </w:r>
    </w:p>
    <w:p w:rsidR="001F5931" w:rsidRDefault="001F5931" w:rsidP="00E6041F">
      <w:pPr>
        <w:spacing w:line="276" w:lineRule="auto"/>
        <w:jc w:val="both"/>
        <w:rPr>
          <w:rFonts w:asciiTheme="minorHAnsi" w:hAnsiTheme="minorHAnsi" w:cstheme="minorHAnsi"/>
        </w:rPr>
      </w:pPr>
    </w:p>
    <w:p w:rsidR="004542F6" w:rsidRPr="00E6041F" w:rsidRDefault="002E130D" w:rsidP="00E6041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Ještě větším problémem můžou být společnosti, které teprve odchod zvažují. Jsou mezi nimi i takový giganti jako například Airbus a BMW, kteří dohromady zaměstnávají přes 200 000 zaměstnanců s ročním obratem přesahujícím 150 miliard dolarů. Až čas nám však ukáže</w:t>
      </w:r>
      <w:r w:rsidR="000E6E0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zda tyto společnosti opravdu odejdou, či se k nim další přidají</w:t>
      </w:r>
      <w:r w:rsidR="00E6041F">
        <w:rPr>
          <w:rFonts w:asciiTheme="minorHAnsi" w:hAnsiTheme="minorHAnsi" w:cstheme="minorHAnsi"/>
        </w:rPr>
        <w:t xml:space="preserve">, </w:t>
      </w:r>
      <w:proofErr w:type="gramStart"/>
      <w:r>
        <w:rPr>
          <w:rFonts w:asciiTheme="minorHAnsi" w:hAnsiTheme="minorHAnsi" w:cstheme="minorHAnsi"/>
        </w:rPr>
        <w:t>a</w:t>
      </w:r>
      <w:r w:rsidR="00E604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nebo</w:t>
      </w:r>
      <w:proofErr w:type="gramEnd"/>
      <w:r>
        <w:rPr>
          <w:rFonts w:asciiTheme="minorHAnsi" w:hAnsiTheme="minorHAnsi" w:cstheme="minorHAnsi"/>
        </w:rPr>
        <w:t xml:space="preserve"> se rozhodnou setrvat.</w:t>
      </w:r>
    </w:p>
    <w:p w:rsidR="004542F6" w:rsidRDefault="00C00BCC" w:rsidP="00E6041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8"/>
        </w:rPr>
      </w:pPr>
      <w:proofErr w:type="spellStart"/>
      <w:r w:rsidRPr="00C00BCC">
        <w:rPr>
          <w:rFonts w:asciiTheme="minorHAnsi" w:hAnsiTheme="minorHAnsi" w:cstheme="minorHAnsi"/>
          <w:b/>
          <w:sz w:val="28"/>
        </w:rPr>
        <w:lastRenderedPageBreak/>
        <w:t>Brexit</w:t>
      </w:r>
      <w:proofErr w:type="spellEnd"/>
      <w:r w:rsidRPr="00C00BCC">
        <w:rPr>
          <w:rFonts w:asciiTheme="minorHAnsi" w:hAnsiTheme="minorHAnsi" w:cstheme="minorHAnsi"/>
          <w:b/>
          <w:sz w:val="28"/>
        </w:rPr>
        <w:t xml:space="preserve"> s</w:t>
      </w:r>
      <w:r w:rsidR="000E6E05">
        <w:rPr>
          <w:rFonts w:asciiTheme="minorHAnsi" w:hAnsiTheme="minorHAnsi" w:cstheme="minorHAnsi"/>
          <w:b/>
          <w:sz w:val="28"/>
        </w:rPr>
        <w:t> </w:t>
      </w:r>
      <w:r w:rsidRPr="00C00BCC">
        <w:rPr>
          <w:rFonts w:asciiTheme="minorHAnsi" w:hAnsiTheme="minorHAnsi" w:cstheme="minorHAnsi"/>
          <w:b/>
          <w:sz w:val="28"/>
        </w:rPr>
        <w:t>dohodou</w:t>
      </w:r>
      <w:r w:rsidR="000E6E05">
        <w:rPr>
          <w:rFonts w:asciiTheme="minorHAnsi" w:hAnsiTheme="minorHAnsi" w:cstheme="minorHAnsi"/>
          <w:b/>
          <w:sz w:val="28"/>
        </w:rPr>
        <w:t>,</w:t>
      </w:r>
      <w:r w:rsidRPr="00C00BCC">
        <w:rPr>
          <w:rFonts w:asciiTheme="minorHAnsi" w:hAnsiTheme="minorHAnsi" w:cstheme="minorHAnsi"/>
          <w:b/>
          <w:sz w:val="28"/>
        </w:rPr>
        <w:t xml:space="preserve"> nebo bez</w:t>
      </w:r>
      <w:r w:rsidR="000E6E05">
        <w:rPr>
          <w:rFonts w:asciiTheme="minorHAnsi" w:hAnsiTheme="minorHAnsi" w:cstheme="minorHAnsi"/>
          <w:b/>
          <w:sz w:val="28"/>
        </w:rPr>
        <w:t xml:space="preserve"> dohody</w:t>
      </w:r>
      <w:r w:rsidRPr="00C00BCC">
        <w:rPr>
          <w:rFonts w:asciiTheme="minorHAnsi" w:hAnsiTheme="minorHAnsi" w:cstheme="minorHAnsi"/>
          <w:b/>
          <w:sz w:val="28"/>
        </w:rPr>
        <w:t>?</w:t>
      </w:r>
    </w:p>
    <w:p w:rsidR="00AF4779" w:rsidRDefault="000E6E05" w:rsidP="00E6041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Původně nebylo vůbec předpokládáno, že by k něčemu takovému jako je </w:t>
      </w:r>
      <w:proofErr w:type="spellStart"/>
      <w:r>
        <w:rPr>
          <w:rFonts w:asciiTheme="minorHAnsi" w:hAnsiTheme="minorHAnsi" w:cstheme="minorHAnsi"/>
        </w:rPr>
        <w:t>brexit</w:t>
      </w:r>
      <w:proofErr w:type="spellEnd"/>
      <w:r>
        <w:rPr>
          <w:rFonts w:asciiTheme="minorHAnsi" w:hAnsiTheme="minorHAnsi" w:cstheme="minorHAnsi"/>
        </w:rPr>
        <w:t xml:space="preserve"> bez dohody mohlo dojít a spíše se napjatě čekalo jaké podmínky budou</w:t>
      </w:r>
      <w:r w:rsidR="00E6041F">
        <w:rPr>
          <w:rFonts w:asciiTheme="minorHAnsi" w:hAnsiTheme="minorHAnsi" w:cstheme="minorHAnsi"/>
        </w:rPr>
        <w:t xml:space="preserve"> dohodnuty</w:t>
      </w:r>
      <w:r>
        <w:rPr>
          <w:rFonts w:asciiTheme="minorHAnsi" w:hAnsiTheme="minorHAnsi" w:cstheme="minorHAnsi"/>
        </w:rPr>
        <w:t xml:space="preserve"> a pro koho budou výhodnější. V srpnu roku 2018 se však začíná jevit varianta odchodu UK z EU </w:t>
      </w:r>
      <w:r w:rsidR="000E08AF">
        <w:rPr>
          <w:rFonts w:asciiTheme="minorHAnsi" w:hAnsiTheme="minorHAnsi" w:cstheme="minorHAnsi"/>
        </w:rPr>
        <w:t xml:space="preserve">bez dohody </w:t>
      </w:r>
      <w:r>
        <w:rPr>
          <w:rFonts w:asciiTheme="minorHAnsi" w:hAnsiTheme="minorHAnsi" w:cstheme="minorHAnsi"/>
        </w:rPr>
        <w:t>jako čím dál tím pravděpodobnější variant</w:t>
      </w:r>
      <w:r w:rsidR="000E08AF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. </w:t>
      </w:r>
    </w:p>
    <w:p w:rsidR="001F5931" w:rsidRDefault="001F5931" w:rsidP="00E6041F">
      <w:pPr>
        <w:spacing w:line="276" w:lineRule="auto"/>
        <w:jc w:val="both"/>
        <w:rPr>
          <w:rFonts w:asciiTheme="minorHAnsi" w:hAnsiTheme="minorHAnsi" w:cstheme="minorHAnsi"/>
        </w:rPr>
      </w:pPr>
    </w:p>
    <w:p w:rsidR="00151207" w:rsidRDefault="00151207" w:rsidP="00E6041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Pokud by na tuto variantu došlo</w:t>
      </w:r>
      <w:r w:rsidR="00677D17">
        <w:rPr>
          <w:rFonts w:asciiTheme="minorHAnsi" w:hAnsiTheme="minorHAnsi" w:cstheme="minorHAnsi"/>
        </w:rPr>
        <w:t xml:space="preserve"> tak není zatím zcela jisté jak by vztahy mezi EU a UK fungovaly. Například ekonom Kryštof Kruliš připodobňuje možnou budoucí podobu vztahů ke vztahu EU a USA, kdy taky není žádná dohoda uzavřena a obchodní práva jsou řízena v režimu pravidel Světové obchodní organizace.</w:t>
      </w:r>
    </w:p>
    <w:p w:rsidR="001F5931" w:rsidRPr="002E6784" w:rsidRDefault="001F5931" w:rsidP="00E6041F">
      <w:pPr>
        <w:spacing w:line="27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:rsidR="001F5931" w:rsidRDefault="002E6784" w:rsidP="00E6041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2E6784">
        <w:rPr>
          <w:rFonts w:asciiTheme="minorHAnsi" w:hAnsiTheme="minorHAnsi" w:cstheme="minorHAnsi"/>
          <w:color w:val="000000" w:themeColor="text1"/>
          <w:shd w:val="clear" w:color="auto" w:fill="FFFFFF"/>
        </w:rPr>
        <w:t>Nicméně tím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,</w:t>
      </w:r>
      <w:r w:rsidRPr="002E678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jak se čas na dohodnutí možné dohody krátí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tak se začíná na tuto variantu připravovat jak UK, tak i některé státy EU. Například Francie a Německo se na tuto variantu připravují a hledají opatření pro co nejednoduší oddělení UK od EU hlavně co se týče budoucích hranic těchto států. </w:t>
      </w:r>
    </w:p>
    <w:p w:rsidR="008E6BAF" w:rsidRDefault="008E6BAF" w:rsidP="00E6041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:rsidR="008E6BAF" w:rsidRDefault="002E6784" w:rsidP="00E6041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Britská vláda v čele s ministrem </w:t>
      </w:r>
      <w:proofErr w:type="spell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Dominicem</w:t>
      </w:r>
      <w:proofErr w:type="spell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Raabem na konci srpna připravila první várku dokumentů, které mají za úkol připravit Británii na možný odchod bez dohody. K tomu vydala i doporučení</w:t>
      </w:r>
      <w:r w:rsidR="008E6BA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pro firmy, aby najali pracovníky navíc, kteří jim pomůžou s vyšší byrokratickou zátěží, která se při odchodu z EU očekává.</w:t>
      </w:r>
      <w:r w:rsidR="008E6BAF" w:rsidRPr="008E6BA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8E6BAF" w:rsidRPr="002E6784">
        <w:rPr>
          <w:rFonts w:asciiTheme="minorHAnsi" w:hAnsiTheme="minorHAnsi" w:cstheme="minorHAnsi"/>
          <w:color w:val="000000" w:themeColor="text1"/>
          <w:shd w:val="clear" w:color="auto" w:fill="FFFFFF"/>
        </w:rPr>
        <w:t>(KUBÁTKOVÁ, Eliška. </w:t>
      </w:r>
      <w:proofErr w:type="spellStart"/>
      <w:r w:rsidR="008E6BAF" w:rsidRPr="002E6784">
        <w:rPr>
          <w:rFonts w:asciiTheme="minorHAnsi" w:hAnsiTheme="minorHAnsi" w:cstheme="minorHAnsi"/>
          <w:i/>
          <w:iCs/>
          <w:color w:val="000000" w:themeColor="text1"/>
        </w:rPr>
        <w:t>Brexit</w:t>
      </w:r>
      <w:proofErr w:type="spellEnd"/>
      <w:r w:rsidR="008E6BAF" w:rsidRPr="002E6784">
        <w:rPr>
          <w:rFonts w:asciiTheme="minorHAnsi" w:hAnsiTheme="minorHAnsi" w:cstheme="minorHAnsi"/>
          <w:i/>
          <w:iCs/>
          <w:color w:val="000000" w:themeColor="text1"/>
        </w:rPr>
        <w:t xml:space="preserve"> bez dohody: Tragédie, nebo scénář, který lze přežít? Klíčové otázky ohledně neřízeného odchodu Britů z EU</w:t>
      </w:r>
      <w:r w:rsidR="008E6BAF" w:rsidRPr="002E6784">
        <w:rPr>
          <w:rFonts w:asciiTheme="minorHAnsi" w:hAnsiTheme="minorHAnsi" w:cstheme="minorHAnsi"/>
          <w:color w:val="000000" w:themeColor="text1"/>
          <w:shd w:val="clear" w:color="auto" w:fill="FFFFFF"/>
        </w:rPr>
        <w:t> [online]).</w:t>
      </w:r>
    </w:p>
    <w:p w:rsidR="008E6BAF" w:rsidRDefault="008E6BAF" w:rsidP="00E6041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:rsidR="008E6BAF" w:rsidRPr="00225B9A" w:rsidRDefault="00225B9A" w:rsidP="00E6041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8"/>
          <w:shd w:val="clear" w:color="auto" w:fill="FFFFFF"/>
        </w:rPr>
      </w:pPr>
      <w:r w:rsidRPr="00225B9A">
        <w:rPr>
          <w:rFonts w:asciiTheme="minorHAnsi" w:hAnsiTheme="minorHAnsi" w:cstheme="minorHAnsi"/>
          <w:b/>
          <w:color w:val="000000" w:themeColor="text1"/>
          <w:sz w:val="28"/>
          <w:shd w:val="clear" w:color="auto" w:fill="FFFFFF"/>
        </w:rPr>
        <w:t>Poslední novinky z října a začátku listopadu 2018</w:t>
      </w:r>
    </w:p>
    <w:p w:rsidR="002E6784" w:rsidRDefault="003021BF" w:rsidP="00E6041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Původně se uváděl říjen jako měsíc do kdy by měla být dohoda uzavřena, přičemž pokud ne tak by se přistoupilo k připravováním odloučení bez dohody. Na začátku října ještě vše vypadalo dost pozitivně, až 14. října došlo ke zlomu, kdy se vyjednávání zasekla na otázce hranic se Severním Irskem. Aktuálně, tedy v listopadu 2018 je situace stále stejná a čeká se na dohodu skrz hranice se Severním Irskem, kdy většina politiků EU je stále optimistická a věří, že do konce měsíce k dohodě dojde.</w:t>
      </w:r>
    </w:p>
    <w:p w:rsidR="003021BF" w:rsidRDefault="003021BF" w:rsidP="00E6041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:rsidR="003021BF" w:rsidRDefault="003021BF" w:rsidP="00E6041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Jsou však politici, kteří jsou proti této dohodě a považují ji za zbytečnou, například ministr zahraničí UK Boris Johnson v BBC prohlásil, že „žádná dohoda je naprosto ok“. Premiérka Theresa Mayová prohlásila, že „žádná dohoda je lepší než špatná dohoda“.</w:t>
      </w:r>
      <w:r w:rsidR="00ED1CE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Velký rozruch vyvolalo prohlášení starosty Londýna </w:t>
      </w:r>
      <w:proofErr w:type="spellStart"/>
      <w:r w:rsidR="00ED1CE9">
        <w:rPr>
          <w:rFonts w:asciiTheme="minorHAnsi" w:hAnsiTheme="minorHAnsi" w:cstheme="minorHAnsi"/>
          <w:color w:val="000000" w:themeColor="text1"/>
          <w:shd w:val="clear" w:color="auto" w:fill="FFFFFF"/>
        </w:rPr>
        <w:t>Sadiq</w:t>
      </w:r>
      <w:proofErr w:type="spellEnd"/>
      <w:r w:rsidR="00ED1CE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ED1CE9">
        <w:rPr>
          <w:rFonts w:asciiTheme="minorHAnsi" w:hAnsiTheme="minorHAnsi" w:cstheme="minorHAnsi"/>
          <w:color w:val="000000" w:themeColor="text1"/>
          <w:shd w:val="clear" w:color="auto" w:fill="FFFFFF"/>
        </w:rPr>
        <w:t>Khana</w:t>
      </w:r>
      <w:proofErr w:type="spellEnd"/>
      <w:r w:rsidR="00ED1CE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který volal po novém referendu. Toto je však dle odborníků zcela nemožné a odpojení UK od EU již nejde zastavit. </w:t>
      </w:r>
      <w:r w:rsidR="001F1C64">
        <w:rPr>
          <w:rFonts w:asciiTheme="minorHAnsi" w:hAnsiTheme="minorHAnsi" w:cstheme="minorHAnsi"/>
          <w:color w:val="000000" w:themeColor="text1"/>
          <w:shd w:val="clear" w:color="auto" w:fill="FFFFFF"/>
        </w:rPr>
        <w:t>(</w:t>
      </w:r>
      <w:r w:rsidR="00ED1CE9" w:rsidRPr="00ED1CE9">
        <w:rPr>
          <w:rFonts w:asciiTheme="minorHAnsi" w:hAnsiTheme="minorHAnsi" w:cstheme="minorHAnsi"/>
          <w:color w:val="000000" w:themeColor="text1"/>
          <w:shd w:val="clear" w:color="auto" w:fill="FFFFFF"/>
        </w:rPr>
        <w:t>OPATRNÝ, Aleš. </w:t>
      </w:r>
      <w:r w:rsidR="00ED1CE9" w:rsidRPr="00ED1CE9">
        <w:rPr>
          <w:rFonts w:asciiTheme="minorHAnsi" w:hAnsiTheme="minorHAnsi" w:cstheme="minorHAnsi"/>
          <w:i/>
          <w:iCs/>
          <w:color w:val="000000" w:themeColor="text1"/>
        </w:rPr>
        <w:t>TERITORIÁLNÍ SEMINÁŘ „VELKÁ BRITÁNIE A BREXIT“: WTO varianta</w:t>
      </w:r>
      <w:r w:rsidR="00ED1CE9" w:rsidRPr="00ED1CE9">
        <w:rPr>
          <w:rFonts w:asciiTheme="minorHAnsi" w:hAnsiTheme="minorHAnsi" w:cstheme="minorHAnsi"/>
          <w:color w:val="000000" w:themeColor="text1"/>
          <w:shd w:val="clear" w:color="auto" w:fill="FFFFFF"/>
        </w:rPr>
        <w:t> [online]</w:t>
      </w:r>
      <w:r w:rsidR="001F1C64">
        <w:rPr>
          <w:rFonts w:asciiTheme="minorHAnsi" w:hAnsiTheme="minorHAnsi" w:cstheme="minorHAnsi"/>
          <w:color w:val="000000" w:themeColor="text1"/>
          <w:shd w:val="clear" w:color="auto" w:fill="FFFFFF"/>
        </w:rPr>
        <w:t>).</w:t>
      </w:r>
    </w:p>
    <w:p w:rsidR="001F1C64" w:rsidRDefault="001F1C64" w:rsidP="00E6041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:rsidR="001F1C64" w:rsidRDefault="005512C4" w:rsidP="00E6041F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8"/>
          <w:shd w:val="clear" w:color="auto" w:fill="FFFFFF"/>
        </w:rPr>
      </w:pPr>
      <w:r w:rsidRPr="005512C4">
        <w:rPr>
          <w:rFonts w:asciiTheme="minorHAnsi" w:hAnsiTheme="minorHAnsi" w:cstheme="minorHAnsi"/>
          <w:b/>
          <w:color w:val="000000" w:themeColor="text1"/>
          <w:sz w:val="28"/>
          <w:shd w:val="clear" w:color="auto" w:fill="FFFFFF"/>
        </w:rPr>
        <w:t>Závěr</w:t>
      </w:r>
    </w:p>
    <w:p w:rsidR="005512C4" w:rsidRPr="005512C4" w:rsidRDefault="005512C4" w:rsidP="00E6041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Je jen velmi těžké odhadovat další vývoj. Ve většině případů se do těchto odhadů nepouští ani odborníci. Když už však některý z nich vydá nějaké prohlášení tak je většinou velmi obecné jako například názory, že </w:t>
      </w:r>
      <w:proofErr w:type="spell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brexit</w:t>
      </w:r>
      <w:proofErr w:type="spell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nepomůže nikomu, či že </w:t>
      </w:r>
      <w:proofErr w:type="spell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brexit</w:t>
      </w:r>
      <w:proofErr w:type="spell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ublíží jak EU, tak UK, ale UK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lastRenderedPageBreak/>
        <w:t xml:space="preserve">více. Zásadní však bude zcela jistě fakt, zda se podaří dosáhnout dohody, či dojde na variantu </w:t>
      </w:r>
      <w:proofErr w:type="spell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brexitu</w:t>
      </w:r>
      <w:proofErr w:type="spell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bez dohody.</w:t>
      </w:r>
    </w:p>
    <w:p w:rsidR="004B44C5" w:rsidRDefault="004B44C5" w:rsidP="00E6041F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0E08AF" w:rsidRDefault="000E08AF" w:rsidP="00E6041F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0E08AF" w:rsidRDefault="000E08AF" w:rsidP="00E6041F">
      <w:pPr>
        <w:spacing w:line="276" w:lineRule="auto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7E194E" w:rsidRPr="004B44C5" w:rsidRDefault="007E194E" w:rsidP="00E6041F">
      <w:pPr>
        <w:spacing w:line="276" w:lineRule="auto"/>
        <w:jc w:val="both"/>
        <w:rPr>
          <w:rFonts w:asciiTheme="minorHAnsi" w:hAnsiTheme="minorHAnsi" w:cstheme="minorHAnsi"/>
          <w:b/>
          <w:sz w:val="28"/>
        </w:rPr>
      </w:pPr>
      <w:r w:rsidRPr="004B44C5">
        <w:rPr>
          <w:rFonts w:asciiTheme="minorHAnsi" w:hAnsiTheme="minorHAnsi" w:cstheme="minorHAnsi"/>
          <w:b/>
          <w:sz w:val="28"/>
        </w:rPr>
        <w:t>Zdroje</w:t>
      </w:r>
    </w:p>
    <w:p w:rsidR="007E194E" w:rsidRDefault="007E194E" w:rsidP="00E6041F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E194E">
        <w:rPr>
          <w:rFonts w:asciiTheme="minorHAnsi" w:hAnsiTheme="minorHAnsi" w:cstheme="minorHAnsi"/>
          <w:color w:val="000000" w:themeColor="text1"/>
        </w:rPr>
        <w:t>NETRVALOVÁ, Sabina. </w:t>
      </w:r>
      <w:r w:rsidRPr="007E194E">
        <w:rPr>
          <w:rFonts w:asciiTheme="minorHAnsi" w:hAnsiTheme="minorHAnsi" w:cstheme="minorHAnsi"/>
          <w:i/>
          <w:color w:val="000000" w:themeColor="text1"/>
        </w:rPr>
        <w:t>Co rozhodlo britské referendum? Penzisté, migrace i selhání labouristů</w:t>
      </w:r>
      <w:r w:rsidRPr="007E194E">
        <w:rPr>
          <w:rFonts w:asciiTheme="minorHAnsi" w:hAnsiTheme="minorHAnsi" w:cstheme="minorHAnsi"/>
          <w:color w:val="000000" w:themeColor="text1"/>
        </w:rPr>
        <w:t xml:space="preserve"> [online]. 25.6.2016 [cit. 2018-11-12]. Dostupné z: </w:t>
      </w:r>
      <w:hyperlink r:id="rId8" w:history="1">
        <w:r w:rsidR="00F20904" w:rsidRPr="007E194E">
          <w:rPr>
            <w:rStyle w:val="Hypertextovodkaz"/>
            <w:rFonts w:asciiTheme="minorHAnsi" w:hAnsiTheme="minorHAnsi" w:cstheme="minorHAnsi"/>
            <w:color w:val="000000" w:themeColor="text1"/>
          </w:rPr>
          <w:t>https://zpravy.idnes.cz/uspech-vote-leave-a-priciny-brexiti-d6q-/zahranicni.aspx?c=A160624_184309_zahranicni_san</w:t>
        </w:r>
      </w:hyperlink>
    </w:p>
    <w:p w:rsidR="004B44C5" w:rsidRDefault="004B44C5" w:rsidP="00E6041F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:rsidR="004B44C5" w:rsidRDefault="004B44C5" w:rsidP="00E6041F">
      <w:pPr>
        <w:spacing w:line="27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ED1CE9">
        <w:rPr>
          <w:rFonts w:asciiTheme="minorHAnsi" w:hAnsiTheme="minorHAnsi" w:cstheme="minorHAnsi"/>
          <w:color w:val="000000" w:themeColor="text1"/>
          <w:shd w:val="clear" w:color="auto" w:fill="FFFFFF"/>
        </w:rPr>
        <w:t>KUBÁTKOVÁ, Eliška. </w:t>
      </w:r>
      <w:proofErr w:type="spellStart"/>
      <w:r w:rsidRPr="00ED1CE9">
        <w:rPr>
          <w:rFonts w:asciiTheme="minorHAnsi" w:hAnsiTheme="minorHAnsi" w:cstheme="minorHAnsi"/>
          <w:i/>
          <w:iCs/>
          <w:color w:val="000000" w:themeColor="text1"/>
        </w:rPr>
        <w:t>Brexit</w:t>
      </w:r>
      <w:proofErr w:type="spellEnd"/>
      <w:r w:rsidRPr="00ED1CE9">
        <w:rPr>
          <w:rFonts w:asciiTheme="minorHAnsi" w:hAnsiTheme="minorHAnsi" w:cstheme="minorHAnsi"/>
          <w:i/>
          <w:iCs/>
          <w:color w:val="000000" w:themeColor="text1"/>
        </w:rPr>
        <w:t xml:space="preserve"> bez dohody: Tragédie, nebo scénář, který lze přežít? Klíčové otázky ohledně neřízeného odchodu Britů z EU</w:t>
      </w:r>
      <w:r w:rsidRPr="00ED1CE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 [online]. 29.8.2018 [cit. 2018-11-12]. Dostupné z: </w:t>
      </w:r>
      <w:hyperlink r:id="rId9" w:history="1">
        <w:r w:rsidRPr="001C0B72">
          <w:rPr>
            <w:rStyle w:val="Hypertextovodkaz"/>
            <w:rFonts w:asciiTheme="minorHAnsi" w:hAnsiTheme="minorHAnsi" w:cstheme="minorHAnsi"/>
            <w:shd w:val="clear" w:color="auto" w:fill="FFFFFF"/>
          </w:rPr>
          <w:t>https://www.info.cz/evropska-unie/brexit-bez-dohody-tragedie-nebo-scenar-ktery-lze-prezit-klicove-otazky-ohledne-nerizeneho-odchodu-britu-z-eu-35816.html</w:t>
        </w:r>
      </w:hyperlink>
    </w:p>
    <w:p w:rsidR="004B44C5" w:rsidRDefault="004B44C5" w:rsidP="00E6041F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:rsidR="004B44C5" w:rsidRPr="00ED1CE9" w:rsidRDefault="004B44C5" w:rsidP="00E6041F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ED1CE9">
        <w:rPr>
          <w:rFonts w:asciiTheme="minorHAnsi" w:hAnsiTheme="minorHAnsi" w:cstheme="minorHAnsi"/>
          <w:color w:val="000000" w:themeColor="text1"/>
          <w:shd w:val="clear" w:color="auto" w:fill="FFFFFF"/>
        </w:rPr>
        <w:t>OPATRNÝ, Aleš. </w:t>
      </w:r>
      <w:r w:rsidRPr="00ED1CE9">
        <w:rPr>
          <w:rFonts w:asciiTheme="minorHAnsi" w:hAnsiTheme="minorHAnsi" w:cstheme="minorHAnsi"/>
          <w:i/>
          <w:iCs/>
          <w:color w:val="000000" w:themeColor="text1"/>
        </w:rPr>
        <w:t>TERITORIÁLNÍ SEMINÁŘ „VELKÁ BRITÁNIE A BREXIT“: WTO varianta</w:t>
      </w:r>
      <w:r w:rsidRPr="00ED1CE9">
        <w:rPr>
          <w:rFonts w:asciiTheme="minorHAnsi" w:hAnsiTheme="minorHAnsi" w:cstheme="minorHAnsi"/>
          <w:color w:val="000000" w:themeColor="text1"/>
          <w:shd w:val="clear" w:color="auto" w:fill="FFFFFF"/>
        </w:rPr>
        <w:t> [online]. [cit. 2018-11-13]. Dostupné z: https://www.mzv.cz/file/2342558/Opatrny_Brexit.pdf</w:t>
      </w:r>
    </w:p>
    <w:p w:rsidR="00F20904" w:rsidRPr="00ED1CE9" w:rsidRDefault="00F20904" w:rsidP="00E6041F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:rsidR="00F20904" w:rsidRPr="00F20904" w:rsidRDefault="00F20904" w:rsidP="00E6041F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20904">
        <w:rPr>
          <w:rFonts w:asciiTheme="minorHAnsi" w:hAnsiTheme="minorHAnsi" w:cstheme="minorHAnsi"/>
          <w:color w:val="000000" w:themeColor="text1"/>
          <w:shd w:val="clear" w:color="auto" w:fill="FFFFFF"/>
        </w:rPr>
        <w:t>WIRNITZER, Jan a Michal BĚLKA. </w:t>
      </w:r>
      <w:r w:rsidRPr="00F20904">
        <w:rPr>
          <w:rFonts w:asciiTheme="minorHAnsi" w:hAnsiTheme="minorHAnsi" w:cstheme="minorHAnsi"/>
          <w:i/>
          <w:iCs/>
          <w:color w:val="000000" w:themeColor="text1"/>
        </w:rPr>
        <w:t>Británie jako první země opustí EU. Pro odchod bylo 51,9 % voličů</w:t>
      </w:r>
      <w:r w:rsidRPr="00F20904">
        <w:rPr>
          <w:rFonts w:asciiTheme="minorHAnsi" w:hAnsiTheme="minorHAnsi" w:cstheme="minorHAnsi"/>
          <w:color w:val="000000" w:themeColor="text1"/>
          <w:shd w:val="clear" w:color="auto" w:fill="FFFFFF"/>
        </w:rPr>
        <w:t> [online]. 23.6.2016 [cit. 2018-11-12]. Dostupné z: https://zpravy.idnes.cz/brexit-vysledky-referenda-o-odchodu-z-eu-britanie-unie-ppy-/zahranicni.aspx?c=A160623_220609_zahranicni_jw</w:t>
      </w:r>
    </w:p>
    <w:p w:rsidR="00F20904" w:rsidRPr="00ED1CE9" w:rsidRDefault="00F20904" w:rsidP="00E6041F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:rsidR="00616C77" w:rsidRPr="00ED1CE9" w:rsidRDefault="00616C77" w:rsidP="00E6041F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:rsidR="00ED1CE9" w:rsidRPr="007E194E" w:rsidRDefault="00ED1CE9" w:rsidP="00E6041F">
      <w:pPr>
        <w:spacing w:line="276" w:lineRule="auto"/>
        <w:rPr>
          <w:rFonts w:asciiTheme="minorHAnsi" w:hAnsiTheme="minorHAnsi" w:cstheme="minorHAnsi"/>
        </w:rPr>
      </w:pPr>
    </w:p>
    <w:p w:rsidR="007E194E" w:rsidRPr="007E194E" w:rsidRDefault="007E194E" w:rsidP="00E6041F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7E194E" w:rsidRDefault="007E194E" w:rsidP="00E6041F">
      <w:pPr>
        <w:spacing w:line="276" w:lineRule="auto"/>
        <w:jc w:val="both"/>
      </w:pPr>
    </w:p>
    <w:p w:rsidR="007E194E" w:rsidRPr="003F5E8B" w:rsidRDefault="007E194E" w:rsidP="00E6041F">
      <w:pPr>
        <w:spacing w:line="276" w:lineRule="auto"/>
        <w:jc w:val="both"/>
      </w:pPr>
    </w:p>
    <w:p w:rsidR="0070273F" w:rsidRPr="0070273F" w:rsidRDefault="0070273F" w:rsidP="00E6041F">
      <w:pPr>
        <w:spacing w:line="276" w:lineRule="auto"/>
        <w:jc w:val="both"/>
        <w:rPr>
          <w:rFonts w:asciiTheme="minorHAnsi" w:hAnsiTheme="minorHAnsi" w:cstheme="minorHAnsi"/>
        </w:rPr>
      </w:pPr>
    </w:p>
    <w:p w:rsidR="0070273F" w:rsidRDefault="0070273F" w:rsidP="00E6041F">
      <w:pPr>
        <w:spacing w:line="276" w:lineRule="auto"/>
      </w:pPr>
    </w:p>
    <w:sectPr w:rsidR="0070273F" w:rsidSect="001512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D03ED"/>
    <w:multiLevelType w:val="hybridMultilevel"/>
    <w:tmpl w:val="756643BA"/>
    <w:lvl w:ilvl="0" w:tplc="BDDAD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0B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41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9C4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926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AE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FA5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6B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2EA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89D762E"/>
    <w:multiLevelType w:val="hybridMultilevel"/>
    <w:tmpl w:val="76E82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3F"/>
    <w:rsid w:val="000E08AF"/>
    <w:rsid w:val="000E6E05"/>
    <w:rsid w:val="00151207"/>
    <w:rsid w:val="00151276"/>
    <w:rsid w:val="001F1C64"/>
    <w:rsid w:val="001F5931"/>
    <w:rsid w:val="00225B9A"/>
    <w:rsid w:val="002E130D"/>
    <w:rsid w:val="002E6784"/>
    <w:rsid w:val="003021BF"/>
    <w:rsid w:val="003F5E8B"/>
    <w:rsid w:val="004421F6"/>
    <w:rsid w:val="004542F6"/>
    <w:rsid w:val="004A43ED"/>
    <w:rsid w:val="004B44C5"/>
    <w:rsid w:val="005512C4"/>
    <w:rsid w:val="005A7B70"/>
    <w:rsid w:val="00616C77"/>
    <w:rsid w:val="006334EF"/>
    <w:rsid w:val="00677D17"/>
    <w:rsid w:val="0070273F"/>
    <w:rsid w:val="00764D47"/>
    <w:rsid w:val="007E194E"/>
    <w:rsid w:val="008E6BAF"/>
    <w:rsid w:val="00A70452"/>
    <w:rsid w:val="00AF4779"/>
    <w:rsid w:val="00B6314A"/>
    <w:rsid w:val="00BA3243"/>
    <w:rsid w:val="00C00BCC"/>
    <w:rsid w:val="00C304E3"/>
    <w:rsid w:val="00E14EA4"/>
    <w:rsid w:val="00E31821"/>
    <w:rsid w:val="00E6041F"/>
    <w:rsid w:val="00ED1CE9"/>
    <w:rsid w:val="00F2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DF62"/>
  <w15:chartTrackingRefBased/>
  <w15:docId w15:val="{ECC53FF1-6055-594A-9317-054E5628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C77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273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F5E8B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7E194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20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8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5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2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493">
          <w:marLeft w:val="90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681">
              <w:marLeft w:val="-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ravy.idnes.cz/uspech-vote-leave-a-priciny-brexiti-d6q-/zahranicni.aspx?c=A160624_184309_zahranicni_s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predmety/predmet.pl?id=109285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fo.cz/evropska-unie/brexit-bez-dohody-tragedie-nebo-scenar-ktery-lze-prezit-klicove-otazky-ohledne-nerizeneho-odchodu-britu-z-eu-35816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1220</Words>
  <Characters>7004</Characters>
  <Application>Microsoft Office Word</Application>
  <DocSecurity>0</DocSecurity>
  <Lines>179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jelinekmartin93@gmail.com</dc:creator>
  <cp:keywords/>
  <dc:description/>
  <cp:lastModifiedBy>jelinekmartin93@gmail.com</cp:lastModifiedBy>
  <cp:revision>20</cp:revision>
  <dcterms:created xsi:type="dcterms:W3CDTF">2018-11-12T13:48:00Z</dcterms:created>
  <dcterms:modified xsi:type="dcterms:W3CDTF">2018-11-15T15:20:00Z</dcterms:modified>
</cp:coreProperties>
</file>