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0E3" w:rsidRDefault="00FD40E3" w:rsidP="00FD40E3">
      <w:pPr>
        <w:pStyle w:val="Normlnweb"/>
        <w:spacing w:before="300" w:beforeAutospacing="0" w:after="0" w:afterAutospacing="0"/>
        <w:ind w:left="300" w:right="150"/>
        <w:rPr>
          <w:color w:val="000000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C. G. Jung o Sigmundu Freudovi:</w:t>
      </w:r>
    </w:p>
    <w:p w:rsidR="00FD40E3" w:rsidRDefault="00FD40E3" w:rsidP="00FD40E3">
      <w:pPr>
        <w:pStyle w:val="Normlnweb"/>
        <w:spacing w:before="75" w:beforeAutospacing="0" w:after="0" w:afterAutospacing="0"/>
        <w:ind w:left="300" w:right="150" w:firstLine="150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Zpočátku pro mě nebylo snadné najít pro Freuda ve svém životě správné místo nebo zaujmout k Freudovi správný postoj. Když jsem se seznámil s jeho dílem, byla přede mnou akademická dráha a dokončoval jsem práci, která měla přispět k mému univerzitnímu postupu. Freud však byl v akademickém světě té doby vysloveně persona non grata, a vztah k němu byl proto na škodu každé vědecké pověsti. „Významní lidé“ se o něm zmiňovali nanejvýš tajně a na kongresech se o něm diskutovalo jen v kuloárech, nikdy v plénu. Tak mi nebylo nikterak příjemné, že jsem musel konstatovat, že se mé asociační pokusy shodují s teoriemi Freudovými.</w:t>
      </w:r>
    </w:p>
    <w:p w:rsidR="00FD40E3" w:rsidRDefault="00FD40E3" w:rsidP="00FD40E3">
      <w:pPr>
        <w:pStyle w:val="Normlnweb"/>
        <w:spacing w:before="0" w:beforeAutospacing="0" w:after="0" w:afterAutospacing="0"/>
        <w:ind w:left="300" w:right="150" w:firstLine="150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 xml:space="preserve">Poprvé jsem za něj lámal kopí, když se na jednom kongresu v Mnichově referovalo o nutkavých neurózách, jeho jméno však bylo úmyslně zamlčeno. V souvislosti s tím jsem v r. 1906 napsal článek o Freudově učení o neurózách, které přineslo tolik významného, k pochopení nutkavých neuróz. Po tomto článku mně dva němečtí profesoři napsali varovné dopisy: jestli zůstanu na Freudově straně a budu pokračovat v jeho obhajobě, je prý má akademická budoucnost ohrožena. Odpověděl jsem: </w:t>
      </w:r>
      <w:r>
        <w:rPr>
          <w:rFonts w:ascii="Georgia" w:hAnsi="Georgia"/>
          <w:color w:val="000000"/>
          <w:sz w:val="20"/>
          <w:szCs w:val="20"/>
        </w:rPr>
        <w:t>„</w:t>
      </w:r>
      <w:r>
        <w:rPr>
          <w:rFonts w:ascii="Verdana" w:hAnsi="Verdana"/>
          <w:color w:val="000000"/>
          <w:sz w:val="20"/>
          <w:szCs w:val="20"/>
        </w:rPr>
        <w:t>Je-li pravda to, co Freud říká, pak jsem při něm. Kašlu na kariéru, jestli předpokládá, že člověk oklešťuje bádání a zamlčuje pravdu.</w:t>
      </w:r>
      <w:r>
        <w:rPr>
          <w:rFonts w:ascii="Georgia" w:hAnsi="Georgia"/>
          <w:color w:val="000000"/>
          <w:sz w:val="20"/>
          <w:szCs w:val="20"/>
        </w:rPr>
        <w:t>“</w:t>
      </w:r>
      <w:r>
        <w:rPr>
          <w:rFonts w:ascii="Verdana" w:hAnsi="Verdana"/>
          <w:color w:val="000000"/>
          <w:sz w:val="20"/>
          <w:szCs w:val="20"/>
        </w:rPr>
        <w:t xml:space="preserve"> A zastával jsem se Freuda a jeho myšlenek nadále.</w:t>
      </w:r>
    </w:p>
    <w:p w:rsidR="00FD40E3" w:rsidRDefault="00FD40E3" w:rsidP="00FD40E3">
      <w:pPr>
        <w:pStyle w:val="Normlnweb"/>
        <w:spacing w:before="75" w:beforeAutospacing="0" w:after="0" w:afterAutospacing="0"/>
        <w:ind w:left="300" w:right="150" w:firstLine="150"/>
        <w:rPr>
          <w:color w:val="000000"/>
        </w:rPr>
      </w:pPr>
      <w:r>
        <w:rPr>
          <w:noProof/>
          <w:color w:val="000000"/>
        </w:rPr>
        <w:drawing>
          <wp:anchor distT="180975" distB="180975" distL="57150" distR="571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62200" cy="1905000"/>
            <wp:effectExtent l="0" t="0" r="0" b="0"/>
            <wp:wrapSquare wrapText="bothSides"/>
            <wp:docPr id="2" name="Obrázek 2" descr="http://jung.sneznik.cz/soubor_freud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ung.sneznik.cz/soubor_freud/image0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000000"/>
          <w:sz w:val="20"/>
          <w:szCs w:val="20"/>
        </w:rPr>
        <w:t xml:space="preserve">Pro myšlenky vyjádřené v práci Die Psychologie der </w:t>
      </w:r>
      <w:proofErr w:type="spellStart"/>
      <w:r>
        <w:rPr>
          <w:rFonts w:ascii="Verdana" w:hAnsi="Verdana"/>
          <w:color w:val="000000"/>
          <w:sz w:val="20"/>
          <w:szCs w:val="20"/>
        </w:rPr>
        <w:t>Dementia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praecox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jsem nenašel příliš porozumění a kolegové se mi vysmáli. Touto prací jsem se však dostal k Freudovi. Pozval mě k sobě a v únoru 1907 s ve Vídni konalo naše první setkání. Sešli jsme se v jednu hodinu po poledni a hovořili takřka bez přestávky třináct hodin. Freud byl první skutečně významný muž, s nímž jsem se setkal. Neměl jsem tehdy zkušenost s nikým, kdo by se s</w:t>
      </w:r>
      <w:r w:rsidR="002517CC">
        <w:rPr>
          <w:rFonts w:ascii="Verdana" w:hAnsi="Verdana"/>
          <w:color w:val="000000"/>
          <w:sz w:val="20"/>
          <w:szCs w:val="20"/>
        </w:rPr>
        <w:t xml:space="preserve"> </w:t>
      </w:r>
      <w:bookmarkStart w:id="0" w:name="_GoBack"/>
      <w:bookmarkEnd w:id="0"/>
      <w:r>
        <w:rPr>
          <w:rFonts w:ascii="Verdana" w:hAnsi="Verdana"/>
          <w:color w:val="000000"/>
          <w:sz w:val="20"/>
          <w:szCs w:val="20"/>
        </w:rPr>
        <w:t>ním mohl měřit. V jeho postoji nebylo nic triviálního. Zjistil jsem, že je mimořádně inteligentní, důvtipný a v každém ohledu pozoruhodný. A přece zůstávali mé první dojmy z něho nejasné, z části i nepochopené.</w:t>
      </w:r>
    </w:p>
    <w:p w:rsidR="00FD40E3" w:rsidRDefault="00FD40E3" w:rsidP="00FD40E3">
      <w:pPr>
        <w:pStyle w:val="Normlnweb"/>
        <w:spacing w:before="75" w:beforeAutospacing="0" w:after="0" w:afterAutospacing="0"/>
        <w:ind w:left="300" w:right="150" w:firstLine="150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 xml:space="preserve">Značně problematický se mi zdál především Freudův postoj k duchu. Kdekoliv se u nějakého člověka nebo uměleckého díla projevil výraz duchovnosti, podezříval ji a naznačoval, že jde o </w:t>
      </w:r>
      <w:r>
        <w:rPr>
          <w:rFonts w:ascii="Georgia" w:hAnsi="Georgia"/>
          <w:color w:val="000000"/>
          <w:sz w:val="20"/>
          <w:szCs w:val="20"/>
        </w:rPr>
        <w:t>„</w:t>
      </w:r>
      <w:r>
        <w:rPr>
          <w:rFonts w:ascii="Verdana" w:hAnsi="Verdana"/>
          <w:color w:val="000000"/>
          <w:sz w:val="20"/>
          <w:szCs w:val="20"/>
        </w:rPr>
        <w:t>vytěsněnou sexualitu</w:t>
      </w:r>
      <w:r>
        <w:rPr>
          <w:rFonts w:ascii="Georgia" w:hAnsi="Georgia"/>
          <w:color w:val="000000"/>
          <w:sz w:val="20"/>
          <w:szCs w:val="20"/>
        </w:rPr>
        <w:t>“</w:t>
      </w:r>
      <w:r>
        <w:rPr>
          <w:rFonts w:ascii="Verdana" w:hAnsi="Verdana"/>
          <w:color w:val="000000"/>
          <w:sz w:val="20"/>
          <w:szCs w:val="20"/>
        </w:rPr>
        <w:t xml:space="preserve">. Co se nedalo interpretovat bezprostředně jako sexualita, označil jako </w:t>
      </w:r>
      <w:r>
        <w:rPr>
          <w:rFonts w:ascii="Georgia" w:hAnsi="Georgia"/>
          <w:color w:val="000000"/>
          <w:sz w:val="20"/>
          <w:szCs w:val="20"/>
        </w:rPr>
        <w:t>„</w:t>
      </w:r>
      <w:proofErr w:type="spellStart"/>
      <w:r>
        <w:rPr>
          <w:rFonts w:ascii="Verdana" w:hAnsi="Verdana"/>
          <w:color w:val="000000"/>
          <w:sz w:val="20"/>
          <w:szCs w:val="20"/>
        </w:rPr>
        <w:t>psychosexualitu</w:t>
      </w:r>
      <w:proofErr w:type="spellEnd"/>
      <w:r>
        <w:rPr>
          <w:rFonts w:ascii="Georgia" w:hAnsi="Georgia"/>
          <w:color w:val="000000"/>
          <w:sz w:val="20"/>
          <w:szCs w:val="20"/>
        </w:rPr>
        <w:t>“</w:t>
      </w:r>
      <w:r>
        <w:rPr>
          <w:rFonts w:ascii="Verdana" w:hAnsi="Verdana"/>
          <w:color w:val="000000"/>
          <w:sz w:val="20"/>
          <w:szCs w:val="20"/>
        </w:rPr>
        <w:t xml:space="preserve">. Namítal jsem, že dovést jeho hypotézu logicky do konce by znamenalo dospět ke zničujícímu soudu o kultuře. Kultura by se jevila jako pouhá fraška, jako morbidní výsledek vytěsněné sexuality. </w:t>
      </w:r>
      <w:r>
        <w:rPr>
          <w:rFonts w:ascii="Georgia" w:hAnsi="Georgia"/>
          <w:color w:val="000000"/>
          <w:sz w:val="20"/>
          <w:szCs w:val="20"/>
        </w:rPr>
        <w:t>„</w:t>
      </w:r>
      <w:r>
        <w:rPr>
          <w:rFonts w:ascii="Verdana" w:hAnsi="Verdana"/>
          <w:color w:val="000000"/>
          <w:sz w:val="20"/>
          <w:szCs w:val="20"/>
        </w:rPr>
        <w:t>Ano,</w:t>
      </w:r>
      <w:r>
        <w:rPr>
          <w:rFonts w:ascii="Georgia" w:hAnsi="Georgia"/>
          <w:color w:val="000000"/>
          <w:sz w:val="20"/>
          <w:szCs w:val="20"/>
        </w:rPr>
        <w:t>“</w:t>
      </w:r>
      <w:r>
        <w:rPr>
          <w:rFonts w:ascii="Verdana" w:hAnsi="Verdana"/>
          <w:color w:val="000000"/>
          <w:sz w:val="20"/>
          <w:szCs w:val="20"/>
        </w:rPr>
        <w:t xml:space="preserve"> potvrdil, </w:t>
      </w:r>
      <w:r>
        <w:rPr>
          <w:rFonts w:ascii="Georgia" w:hAnsi="Georgia"/>
          <w:color w:val="000000"/>
          <w:sz w:val="20"/>
          <w:szCs w:val="20"/>
        </w:rPr>
        <w:t>„</w:t>
      </w:r>
      <w:r>
        <w:rPr>
          <w:rFonts w:ascii="Verdana" w:hAnsi="Verdana"/>
          <w:color w:val="000000"/>
          <w:sz w:val="20"/>
          <w:szCs w:val="20"/>
        </w:rPr>
        <w:t>tak to je. Je to osudová kletba, vůči níž jsme bezmocní.</w:t>
      </w:r>
      <w:r>
        <w:rPr>
          <w:rFonts w:ascii="Georgia" w:hAnsi="Georgia"/>
          <w:color w:val="000000"/>
          <w:sz w:val="20"/>
          <w:szCs w:val="20"/>
        </w:rPr>
        <w:t>“</w:t>
      </w:r>
      <w:r>
        <w:rPr>
          <w:rFonts w:ascii="Verdana" w:hAnsi="Verdana"/>
          <w:color w:val="000000"/>
          <w:sz w:val="20"/>
          <w:szCs w:val="20"/>
        </w:rPr>
        <w:t xml:space="preserve"> Nebyl jsem nikterak ochoten dát mu za pravdu se s tím spokojit. Avšak cítil jsem, že jsem diskusi ještě nedorostl.</w:t>
      </w:r>
    </w:p>
    <w:p w:rsidR="00FD40E3" w:rsidRDefault="00FD40E3" w:rsidP="00FD40E3">
      <w:pPr>
        <w:pStyle w:val="Normlnweb"/>
        <w:spacing w:before="75" w:beforeAutospacing="0" w:after="0" w:afterAutospacing="0"/>
        <w:ind w:left="300" w:right="150" w:firstLine="150"/>
        <w:rPr>
          <w:color w:val="00000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... sexualita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pro něj znamenala </w:t>
      </w:r>
      <w:proofErr w:type="spellStart"/>
      <w:r>
        <w:rPr>
          <w:rFonts w:ascii="Verdana" w:hAnsi="Verdana"/>
          <w:color w:val="000000"/>
          <w:sz w:val="20"/>
          <w:szCs w:val="20"/>
        </w:rPr>
        <w:t>numinosum</w:t>
      </w:r>
      <w:proofErr w:type="spellEnd"/>
      <w:r>
        <w:rPr>
          <w:rFonts w:ascii="Verdana" w:hAnsi="Verdana"/>
          <w:color w:val="000000"/>
          <w:sz w:val="20"/>
          <w:szCs w:val="20"/>
        </w:rPr>
        <w:t>. Můj dojem byl potvrzen rozhovorem, který se konal asi o tři roky později (1910) opět ve Vídni.</w:t>
      </w:r>
    </w:p>
    <w:p w:rsidR="00FD40E3" w:rsidRDefault="00FD40E3" w:rsidP="00FD40E3">
      <w:pPr>
        <w:pStyle w:val="Normlnweb"/>
        <w:spacing w:before="0" w:beforeAutospacing="0" w:after="0" w:afterAutospacing="0"/>
        <w:ind w:left="300" w:right="150" w:firstLine="150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 xml:space="preserve">Vzpomínám si ještě </w:t>
      </w:r>
      <w:proofErr w:type="gramStart"/>
      <w:r>
        <w:rPr>
          <w:rFonts w:ascii="Verdana" w:hAnsi="Verdana"/>
          <w:color w:val="000000"/>
          <w:sz w:val="20"/>
          <w:szCs w:val="20"/>
        </w:rPr>
        <w:t>živě jak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mi Freud říkal: </w:t>
      </w:r>
      <w:r>
        <w:rPr>
          <w:rFonts w:ascii="Georgia" w:hAnsi="Georgia"/>
          <w:color w:val="000000"/>
          <w:sz w:val="20"/>
          <w:szCs w:val="20"/>
        </w:rPr>
        <w:t>„</w:t>
      </w:r>
      <w:r>
        <w:rPr>
          <w:rFonts w:ascii="Verdana" w:hAnsi="Verdana"/>
          <w:color w:val="000000"/>
          <w:sz w:val="20"/>
          <w:szCs w:val="20"/>
        </w:rPr>
        <w:t>Můj milý Jungu, slibte mi, že se nikdy nezřeknete sexuální teorie. To je ze všeho nejdůležitější. Podívejte se, musíme z toho udělat dogma, neotřesitelnou baštu.</w:t>
      </w:r>
      <w:r>
        <w:rPr>
          <w:rFonts w:ascii="Georgia" w:hAnsi="Georgia"/>
          <w:color w:val="000000"/>
          <w:sz w:val="20"/>
          <w:szCs w:val="20"/>
        </w:rPr>
        <w:t>“</w:t>
      </w:r>
      <w:r>
        <w:rPr>
          <w:rFonts w:ascii="Verdana" w:hAnsi="Verdana"/>
          <w:color w:val="000000"/>
          <w:sz w:val="20"/>
          <w:szCs w:val="20"/>
        </w:rPr>
        <w:t xml:space="preserve"> To mě říkal pln vášně a tónem, jako když otec říká: </w:t>
      </w:r>
      <w:r>
        <w:rPr>
          <w:rFonts w:ascii="Georgia" w:hAnsi="Georgia"/>
          <w:color w:val="000000"/>
          <w:sz w:val="20"/>
          <w:szCs w:val="20"/>
        </w:rPr>
        <w:t>„</w:t>
      </w:r>
      <w:r>
        <w:rPr>
          <w:rFonts w:ascii="Verdana" w:hAnsi="Verdana"/>
          <w:color w:val="000000"/>
          <w:sz w:val="20"/>
          <w:szCs w:val="20"/>
        </w:rPr>
        <w:t>A slib mi jedno milý synu: choď každou neděli do kostela!</w:t>
      </w:r>
      <w:r>
        <w:rPr>
          <w:rFonts w:ascii="Georgia" w:hAnsi="Georgia"/>
          <w:color w:val="000000"/>
          <w:sz w:val="20"/>
          <w:szCs w:val="20"/>
        </w:rPr>
        <w:t>“</w:t>
      </w:r>
      <w:r>
        <w:rPr>
          <w:rFonts w:ascii="Verdana" w:hAnsi="Verdana"/>
          <w:color w:val="000000"/>
          <w:sz w:val="20"/>
          <w:szCs w:val="20"/>
        </w:rPr>
        <w:t xml:space="preserve"> Poněkud udiven jsem se ho zeptal: </w:t>
      </w:r>
      <w:r>
        <w:rPr>
          <w:rFonts w:ascii="Georgia" w:hAnsi="Georgia"/>
          <w:color w:val="000000"/>
          <w:sz w:val="20"/>
          <w:szCs w:val="20"/>
        </w:rPr>
        <w:t>„</w:t>
      </w:r>
      <w:r>
        <w:rPr>
          <w:rFonts w:ascii="Verdana" w:hAnsi="Verdana"/>
          <w:color w:val="000000"/>
          <w:sz w:val="20"/>
          <w:szCs w:val="20"/>
        </w:rPr>
        <w:t>Baštu - a proti čemu?</w:t>
      </w:r>
      <w:r>
        <w:rPr>
          <w:rFonts w:ascii="Georgia" w:hAnsi="Georgia"/>
          <w:color w:val="000000"/>
          <w:sz w:val="20"/>
          <w:szCs w:val="20"/>
        </w:rPr>
        <w:t>“</w:t>
      </w:r>
      <w:r>
        <w:rPr>
          <w:rFonts w:ascii="Verdana" w:hAnsi="Verdana"/>
          <w:color w:val="000000"/>
          <w:sz w:val="20"/>
          <w:szCs w:val="20"/>
        </w:rPr>
        <w:t xml:space="preserve"> Načež odpověděl: </w:t>
      </w:r>
      <w:r>
        <w:rPr>
          <w:rFonts w:ascii="Georgia" w:hAnsi="Georgia"/>
          <w:color w:val="000000"/>
          <w:sz w:val="20"/>
          <w:szCs w:val="20"/>
        </w:rPr>
        <w:t>„</w:t>
      </w:r>
      <w:r>
        <w:rPr>
          <w:rFonts w:ascii="Verdana" w:hAnsi="Verdana"/>
          <w:color w:val="000000"/>
          <w:sz w:val="20"/>
          <w:szCs w:val="20"/>
        </w:rPr>
        <w:t>Proti přívalu černého bahna -</w:t>
      </w:r>
      <w:r>
        <w:rPr>
          <w:rFonts w:ascii="Georgia" w:hAnsi="Georgia"/>
          <w:color w:val="000000"/>
          <w:sz w:val="20"/>
          <w:szCs w:val="20"/>
        </w:rPr>
        <w:t>“</w:t>
      </w:r>
      <w:r>
        <w:rPr>
          <w:rFonts w:ascii="Verdana" w:hAnsi="Verdana"/>
          <w:color w:val="000000"/>
          <w:sz w:val="20"/>
          <w:szCs w:val="20"/>
        </w:rPr>
        <w:t xml:space="preserve"> zde na okamžik zaváhal a dodal: </w:t>
      </w:r>
      <w:r>
        <w:rPr>
          <w:rFonts w:ascii="Georgia" w:hAnsi="Georgia"/>
          <w:color w:val="000000"/>
          <w:sz w:val="20"/>
          <w:szCs w:val="20"/>
        </w:rPr>
        <w:t>„</w:t>
      </w:r>
      <w:r>
        <w:rPr>
          <w:rFonts w:ascii="Verdana" w:hAnsi="Verdana"/>
          <w:color w:val="000000"/>
          <w:sz w:val="20"/>
          <w:szCs w:val="20"/>
        </w:rPr>
        <w:t>- okultismu.</w:t>
      </w:r>
      <w:r>
        <w:rPr>
          <w:rFonts w:ascii="Georgia" w:hAnsi="Georgia"/>
          <w:color w:val="000000"/>
          <w:sz w:val="20"/>
          <w:szCs w:val="20"/>
        </w:rPr>
        <w:t>“</w:t>
      </w:r>
      <w:r>
        <w:rPr>
          <w:rFonts w:ascii="Verdana" w:hAnsi="Verdana"/>
          <w:color w:val="000000"/>
          <w:sz w:val="20"/>
          <w:szCs w:val="20"/>
        </w:rPr>
        <w:t xml:space="preserve"> Především mě vyděsila </w:t>
      </w:r>
      <w:r>
        <w:rPr>
          <w:rFonts w:ascii="Georgia" w:hAnsi="Georgia"/>
          <w:color w:val="000000"/>
          <w:sz w:val="20"/>
          <w:szCs w:val="20"/>
        </w:rPr>
        <w:t>„</w:t>
      </w:r>
      <w:r>
        <w:rPr>
          <w:rFonts w:ascii="Verdana" w:hAnsi="Verdana"/>
          <w:color w:val="000000"/>
          <w:sz w:val="20"/>
          <w:szCs w:val="20"/>
        </w:rPr>
        <w:t>bašta</w:t>
      </w:r>
      <w:r>
        <w:rPr>
          <w:rFonts w:ascii="Georgia" w:hAnsi="Georgia"/>
          <w:color w:val="000000"/>
          <w:sz w:val="20"/>
          <w:szCs w:val="20"/>
        </w:rPr>
        <w:t>“</w:t>
      </w:r>
      <w:r>
        <w:rPr>
          <w:rFonts w:ascii="Verdana" w:hAnsi="Verdana"/>
          <w:color w:val="000000"/>
          <w:sz w:val="20"/>
          <w:szCs w:val="20"/>
        </w:rPr>
        <w:t xml:space="preserve"> a </w:t>
      </w:r>
      <w:r>
        <w:rPr>
          <w:rFonts w:ascii="Georgia" w:hAnsi="Georgia"/>
          <w:color w:val="000000"/>
          <w:sz w:val="20"/>
          <w:szCs w:val="20"/>
        </w:rPr>
        <w:t>„</w:t>
      </w:r>
      <w:r>
        <w:rPr>
          <w:rFonts w:ascii="Verdana" w:hAnsi="Verdana"/>
          <w:color w:val="000000"/>
          <w:sz w:val="20"/>
          <w:szCs w:val="20"/>
        </w:rPr>
        <w:t>dogma</w:t>
      </w:r>
      <w:r>
        <w:rPr>
          <w:rFonts w:ascii="Georgia" w:hAnsi="Georgia"/>
          <w:color w:val="000000"/>
          <w:sz w:val="20"/>
          <w:szCs w:val="20"/>
        </w:rPr>
        <w:t>“</w:t>
      </w:r>
      <w:r>
        <w:rPr>
          <w:rFonts w:ascii="Verdana" w:hAnsi="Verdana"/>
          <w:color w:val="000000"/>
          <w:sz w:val="20"/>
          <w:szCs w:val="20"/>
        </w:rPr>
        <w:t>. Neboť dogma, tj. vyznání, o němž nelze diskutovat, vyslovuje přece člověk jen tehdy, chce-li jednou provždy potlačit pochybnost. Byla to rána, která zasáhla dřeň našeho přátelství.</w:t>
      </w:r>
    </w:p>
    <w:p w:rsidR="00FD40E3" w:rsidRDefault="00FD40E3" w:rsidP="00FD40E3">
      <w:pPr>
        <w:pStyle w:val="Normlnweb"/>
        <w:spacing w:before="75" w:beforeAutospacing="0" w:after="0" w:afterAutospacing="0"/>
        <w:ind w:left="300" w:right="150" w:firstLine="150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Freud se sám sebe nikdy neptal, proč musel stále hovořit o sexu, proč ho tato myšlenka tak zaujala. Nikdy si neuvědomil to, že se v </w:t>
      </w:r>
      <w:r>
        <w:rPr>
          <w:rFonts w:ascii="Georgia" w:hAnsi="Georgia"/>
          <w:color w:val="000000"/>
          <w:sz w:val="20"/>
          <w:szCs w:val="20"/>
        </w:rPr>
        <w:t>„</w:t>
      </w:r>
      <w:r>
        <w:rPr>
          <w:rFonts w:ascii="Verdana" w:hAnsi="Verdana"/>
          <w:color w:val="000000"/>
          <w:sz w:val="20"/>
          <w:szCs w:val="20"/>
        </w:rPr>
        <w:t>monotonii výkladu</w:t>
      </w:r>
      <w:r>
        <w:rPr>
          <w:rFonts w:ascii="Georgia" w:hAnsi="Georgia"/>
          <w:color w:val="000000"/>
          <w:sz w:val="20"/>
          <w:szCs w:val="20"/>
        </w:rPr>
        <w:t>“</w:t>
      </w:r>
      <w:r>
        <w:rPr>
          <w:rFonts w:ascii="Verdana" w:hAnsi="Verdana"/>
          <w:color w:val="000000"/>
          <w:sz w:val="20"/>
          <w:szCs w:val="20"/>
        </w:rPr>
        <w:t xml:space="preserve"> projevoval únik před sebou samým nebo před onou druhou stránkou v sobě, která by se snad dala označit jako </w:t>
      </w:r>
      <w:r>
        <w:rPr>
          <w:rFonts w:ascii="Georgia" w:hAnsi="Georgia"/>
          <w:color w:val="000000"/>
          <w:sz w:val="20"/>
          <w:szCs w:val="20"/>
        </w:rPr>
        <w:t>„</w:t>
      </w:r>
      <w:r>
        <w:rPr>
          <w:rFonts w:ascii="Verdana" w:hAnsi="Verdana"/>
          <w:color w:val="000000"/>
          <w:sz w:val="20"/>
          <w:szCs w:val="20"/>
        </w:rPr>
        <w:t>mystická</w:t>
      </w:r>
      <w:r>
        <w:rPr>
          <w:rFonts w:ascii="Georgia" w:hAnsi="Georgia"/>
          <w:color w:val="000000"/>
          <w:sz w:val="20"/>
          <w:szCs w:val="20"/>
        </w:rPr>
        <w:t>“</w:t>
      </w:r>
      <w:r>
        <w:rPr>
          <w:rFonts w:ascii="Verdana" w:hAnsi="Verdana"/>
          <w:color w:val="000000"/>
          <w:sz w:val="20"/>
          <w:szCs w:val="20"/>
        </w:rPr>
        <w:t>. Bez uznání této stránky nemohl však dosáhnout shody se sebou samým. Byl slepý vůči paradoxii a dvojznačnosti obsahů nevědomí a nevěděl, že vše co se z nevědomí vynoří, má nějaké nahoře a dole, nějaké uvnitř a vně. Hovoří-li člověk o vnějšku - a to Freud dělal - pak bere v úvahu jen jednu polovinu a z nevědomí se logicky rodí opačný účinek.</w:t>
      </w:r>
    </w:p>
    <w:p w:rsidR="00FD40E3" w:rsidRDefault="00FD40E3" w:rsidP="00FD40E3">
      <w:pPr>
        <w:pStyle w:val="Normlnweb"/>
        <w:spacing w:before="0" w:beforeAutospacing="0" w:after="0" w:afterAutospacing="0"/>
        <w:ind w:left="300" w:right="150" w:firstLine="150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 xml:space="preserve">Proti Freudově jednostrannosti se nedalo nic dělat. Snad by mu byla mohla otevřít oči vlastní vnitřní zkušenost; avšak jeho intelekt by i ji možná zredukoval na </w:t>
      </w:r>
      <w:r>
        <w:rPr>
          <w:rFonts w:ascii="Georgia" w:hAnsi="Georgia"/>
          <w:color w:val="000000"/>
          <w:sz w:val="20"/>
          <w:szCs w:val="20"/>
        </w:rPr>
        <w:t>„</w:t>
      </w:r>
      <w:r>
        <w:rPr>
          <w:rFonts w:ascii="Verdana" w:hAnsi="Verdana"/>
          <w:color w:val="000000"/>
          <w:sz w:val="20"/>
          <w:szCs w:val="20"/>
        </w:rPr>
        <w:t>pouhou sexualitu</w:t>
      </w:r>
      <w:r>
        <w:rPr>
          <w:rFonts w:ascii="Georgia" w:hAnsi="Georgia"/>
          <w:color w:val="000000"/>
          <w:sz w:val="20"/>
          <w:szCs w:val="20"/>
        </w:rPr>
        <w:t>“</w:t>
      </w:r>
      <w:r>
        <w:rPr>
          <w:rFonts w:ascii="Verdana" w:hAnsi="Verdana"/>
          <w:color w:val="000000"/>
          <w:sz w:val="20"/>
          <w:szCs w:val="20"/>
        </w:rPr>
        <w:t xml:space="preserve"> nebo </w:t>
      </w:r>
      <w:r>
        <w:rPr>
          <w:rFonts w:ascii="Georgia" w:hAnsi="Georgia"/>
          <w:color w:val="000000"/>
          <w:sz w:val="20"/>
          <w:szCs w:val="20"/>
        </w:rPr>
        <w:t>„</w:t>
      </w:r>
      <w:proofErr w:type="spellStart"/>
      <w:r>
        <w:rPr>
          <w:rFonts w:ascii="Verdana" w:hAnsi="Verdana"/>
          <w:color w:val="000000"/>
          <w:sz w:val="20"/>
          <w:szCs w:val="20"/>
        </w:rPr>
        <w:t>psychosexualitu</w:t>
      </w:r>
      <w:proofErr w:type="spellEnd"/>
      <w:r>
        <w:rPr>
          <w:rFonts w:ascii="Georgia" w:hAnsi="Georgia"/>
          <w:color w:val="000000"/>
          <w:sz w:val="20"/>
          <w:szCs w:val="20"/>
        </w:rPr>
        <w:t>“</w:t>
      </w:r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gramStart"/>
      <w:r>
        <w:rPr>
          <w:rFonts w:ascii="Verdana" w:hAnsi="Verdana"/>
          <w:color w:val="000000"/>
          <w:sz w:val="20"/>
          <w:szCs w:val="20"/>
        </w:rPr>
        <w:t>propadl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navždy jednomu aspektu, a právě proto v něm vidím tragickou postavu; neboť to byl velký muž, a co ještě víc - člověk něčím uchvácený.</w:t>
      </w:r>
    </w:p>
    <w:p w:rsidR="00FD40E3" w:rsidRDefault="00FD40E3" w:rsidP="00FD40E3">
      <w:pPr>
        <w:pStyle w:val="Normlnweb"/>
        <w:spacing w:before="75" w:beforeAutospacing="0" w:after="0" w:afterAutospacing="0"/>
        <w:ind w:left="300" w:right="150" w:firstLine="150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Když jsem se při práci na Proměnách a symbolech libida dostal v závěru ke kapitole o Oběti, věděl jsem předem, že mě to bude stát přátelství s Freudem. Mělo se v ní hovořit o mém vlastním pojetí incestu, o rozhodující změně pojmu libida a ještě jiných myšlenkách, v nichž jsem se odlišoval od Freuda.</w:t>
      </w:r>
    </w:p>
    <w:p w:rsidR="00FD40E3" w:rsidRDefault="00FD40E3" w:rsidP="00FD40E3">
      <w:pPr>
        <w:pStyle w:val="Normlnweb"/>
        <w:spacing w:before="0" w:beforeAutospacing="0" w:after="0" w:afterAutospacing="0"/>
        <w:ind w:left="300" w:right="150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Po dva měsíce jsem se nemohl dotknout pera a byl jsem trýzněn konfliktem: mám zamlčet, co si myslím, nebo mám riskovat přátelství? Nakonec jsem se rozhodl psát, a to mě stálo Freudovo přátelství.</w:t>
      </w:r>
    </w:p>
    <w:p w:rsidR="00FD40E3" w:rsidRDefault="00FD40E3" w:rsidP="00FD40E3">
      <w:pPr>
        <w:pStyle w:val="Normlnweb"/>
        <w:spacing w:before="150" w:beforeAutospacing="0" w:after="150" w:afterAutospacing="0"/>
        <w:ind w:left="300" w:right="150" w:firstLine="150"/>
        <w:rPr>
          <w:color w:val="000000"/>
        </w:rPr>
      </w:pPr>
      <w:r>
        <w:rPr>
          <w:noProof/>
          <w:color w:val="000000"/>
        </w:rPr>
        <w:drawing>
          <wp:anchor distT="57150" distB="57150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990725"/>
            <wp:effectExtent l="0" t="0" r="0" b="9525"/>
            <wp:wrapSquare wrapText="bothSides"/>
            <wp:docPr id="1" name="Obrázek 1" descr="http://jung.sneznik.cz/soubor_freud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jung.sneznik.cz/soubor_freud/image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000000"/>
          <w:sz w:val="20"/>
          <w:szCs w:val="20"/>
        </w:rPr>
        <w:t>Freudův největší výkon spočíval patrně v tom, že bral své neurotické pacienty vážně a přistupoval na jejich zvláštní a individuální psychologii. Měl odvahu nechat hovořit kazuistiku a takto proniknout do individuální psychologie nemocného. Viděl takříkajíc očima pacienta a dospěl tímto způsobem k hlubšímu pochopení nemoci, než to bylo v té době možné. Zde měl nepředpojatost a odvahu. To ho přivedlo k tomu, že překonal spoustu předsudků. Jako starozákonní prorok podnikl to, že svrhl nepravé bohy, odhrnul příkrov z hromady nepoctivosti a pokrytectví a nelítostně vystavil na denní světlo rozklad současné duše. Nebál se, že za takovou odvahu sklidí nepopularitu. Podnět, který tím dal naší kultuře, spočíval v odhalení přístupu k nevědomí. Uznáním snu, jako nejdůležitějšího zdroje informací o procesech v nevědomí uchránil z minulosti a před zapomenutím hodnotu, která se zdála nadobro ztracena.</w:t>
      </w:r>
    </w:p>
    <w:p w:rsidR="00FE3FAF" w:rsidRDefault="00FD40E3" w:rsidP="00FD4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FD40E3">
        <w:t>Freud versus</w:t>
      </w:r>
      <w:r w:rsidRPr="00FD40E3">
        <w:rPr>
          <w:b/>
          <w:sz w:val="32"/>
          <w:szCs w:val="32"/>
        </w:rPr>
        <w:t xml:space="preserve"> Jung</w:t>
      </w:r>
    </w:p>
    <w:p w:rsidR="00FD40E3" w:rsidRDefault="00FD40E3" w:rsidP="00FD4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>Nevědomí</w:t>
      </w:r>
    </w:p>
    <w:p w:rsidR="00FD40E3" w:rsidRDefault="00FD40E3" w:rsidP="00FD4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FD40E3">
        <w:t>Archetypy, kolektivní nevědomí</w:t>
      </w:r>
    </w:p>
    <w:p w:rsidR="00FD40E3" w:rsidRDefault="00FD40E3" w:rsidP="00FD4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D40E3" w:rsidRPr="00FD40E3" w:rsidRDefault="00FD40E3" w:rsidP="00FD4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b/>
        </w:rPr>
        <w:t xml:space="preserve">Teleologie osobnosti – </w:t>
      </w:r>
      <w:r w:rsidRPr="00FD40E3">
        <w:t>Individuace/ Bytostné já</w:t>
      </w:r>
    </w:p>
    <w:p w:rsidR="00FD40E3" w:rsidRDefault="00FD40E3" w:rsidP="00FD4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</w:p>
    <w:p w:rsidR="00FD40E3" w:rsidRDefault="00FD40E3" w:rsidP="00FD4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 xml:space="preserve">Typologie osobnosti </w:t>
      </w:r>
    </w:p>
    <w:p w:rsidR="00FD40E3" w:rsidRDefault="00FD40E3" w:rsidP="00FD4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>Obecné typy</w:t>
      </w:r>
    </w:p>
    <w:p w:rsidR="00FD40E3" w:rsidRDefault="00FD40E3" w:rsidP="00FD4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</w:p>
    <w:p w:rsidR="00FD40E3" w:rsidRPr="00FD40E3" w:rsidRDefault="00FD40E3" w:rsidP="00FD4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>Funkční typy</w:t>
      </w:r>
    </w:p>
    <w:p w:rsidR="00FD40E3" w:rsidRPr="00FD40E3" w:rsidRDefault="00FD4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</w:p>
    <w:sectPr w:rsidR="00FD40E3" w:rsidRPr="00FD4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E3"/>
    <w:rsid w:val="002517CC"/>
    <w:rsid w:val="00FD40E3"/>
    <w:rsid w:val="00FE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DE84C-E298-45B6-9AA9-2E6B451A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D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1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5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868</Words>
  <Characters>5126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Denglerova</dc:creator>
  <cp:keywords/>
  <dc:description/>
  <cp:lastModifiedBy>Denglerova</cp:lastModifiedBy>
  <cp:revision>2</cp:revision>
  <cp:lastPrinted>2018-12-10T12:55:00Z</cp:lastPrinted>
  <dcterms:created xsi:type="dcterms:W3CDTF">2018-12-10T12:48:00Z</dcterms:created>
  <dcterms:modified xsi:type="dcterms:W3CDTF">2018-12-10T13:04:00Z</dcterms:modified>
</cp:coreProperties>
</file>