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5F" w:rsidRDefault="0061605F" w:rsidP="0061605F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1605F">
        <w:rPr>
          <w:rFonts w:cstheme="minorHAnsi"/>
          <w:b/>
          <w:sz w:val="24"/>
          <w:szCs w:val="24"/>
          <w:u w:val="single"/>
        </w:rPr>
        <w:t>Specializace: Poradenství, diagnostika a intervence u jedinců se sluchovým postižením 2</w:t>
      </w:r>
    </w:p>
    <w:p w:rsidR="00CF747B" w:rsidRPr="00CF747B" w:rsidRDefault="00CF747B" w:rsidP="00CF747B">
      <w:pPr>
        <w:spacing w:before="120" w:after="120" w:line="240" w:lineRule="auto"/>
        <w:jc w:val="center"/>
        <w:outlineLvl w:val="2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CF747B">
        <w:rPr>
          <w:rFonts w:eastAsia="Times New Roman" w:cstheme="minorHAnsi"/>
          <w:b/>
          <w:sz w:val="24"/>
          <w:szCs w:val="24"/>
          <w:u w:val="single"/>
          <w:lang w:eastAsia="cs-CZ"/>
        </w:rPr>
        <w:t>SPp223 Specializace: Edukace žáků se sluchovým postižením 2</w:t>
      </w:r>
      <w:bookmarkStart w:id="0" w:name="_GoBack"/>
      <w:bookmarkEnd w:id="0"/>
    </w:p>
    <w:p w:rsidR="00CF747B" w:rsidRPr="0061605F" w:rsidRDefault="00CF747B" w:rsidP="0061605F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1605F" w:rsidRPr="0061605F" w:rsidRDefault="0061605F" w:rsidP="0061605F">
      <w:pPr>
        <w:spacing w:line="240" w:lineRule="auto"/>
        <w:jc w:val="center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(podzim 2019)</w:t>
      </w:r>
    </w:p>
    <w:p w:rsidR="0061605F" w:rsidRPr="0061605F" w:rsidRDefault="0061605F" w:rsidP="0061605F">
      <w:pPr>
        <w:spacing w:line="240" w:lineRule="auto"/>
        <w:jc w:val="center"/>
        <w:rPr>
          <w:rFonts w:cstheme="minorHAnsi"/>
          <w:sz w:val="24"/>
          <w:szCs w:val="24"/>
        </w:rPr>
      </w:pPr>
      <w:r w:rsidRPr="0061605F">
        <w:rPr>
          <w:rFonts w:cstheme="minorHAnsi"/>
          <w:b/>
          <w:sz w:val="24"/>
          <w:szCs w:val="24"/>
        </w:rPr>
        <w:t>Vyučující:</w:t>
      </w:r>
      <w:r w:rsidRPr="0061605F">
        <w:rPr>
          <w:rFonts w:cstheme="minorHAnsi"/>
          <w:sz w:val="24"/>
          <w:szCs w:val="24"/>
        </w:rPr>
        <w:t xml:space="preserve"> PhDr. Radka Horáková, Ph.D. (</w:t>
      </w:r>
      <w:hyperlink r:id="rId5" w:history="1">
        <w:r w:rsidRPr="0061605F">
          <w:rPr>
            <w:rStyle w:val="Hypertextovodkaz"/>
            <w:rFonts w:cstheme="minorHAnsi"/>
            <w:sz w:val="24"/>
            <w:szCs w:val="24"/>
          </w:rPr>
          <w:t>horakova@ped.muni.cz</w:t>
        </w:r>
      </w:hyperlink>
      <w:r w:rsidRPr="0061605F">
        <w:rPr>
          <w:rFonts w:cstheme="minorHAnsi"/>
          <w:sz w:val="24"/>
          <w:szCs w:val="24"/>
        </w:rPr>
        <w:t>)</w:t>
      </w:r>
    </w:p>
    <w:p w:rsidR="0061605F" w:rsidRPr="0061605F" w:rsidRDefault="0061605F" w:rsidP="0061605F">
      <w:pPr>
        <w:spacing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 xml:space="preserve">                                             PhDr. Lenka </w:t>
      </w:r>
      <w:proofErr w:type="spellStart"/>
      <w:r w:rsidRPr="0061605F">
        <w:rPr>
          <w:rFonts w:cstheme="minorHAnsi"/>
          <w:sz w:val="24"/>
          <w:szCs w:val="24"/>
        </w:rPr>
        <w:t>Hricová</w:t>
      </w:r>
      <w:proofErr w:type="spellEnd"/>
      <w:r w:rsidRPr="0061605F">
        <w:rPr>
          <w:rFonts w:cstheme="minorHAnsi"/>
          <w:sz w:val="24"/>
          <w:szCs w:val="24"/>
        </w:rPr>
        <w:t>, Ph.D.</w:t>
      </w:r>
    </w:p>
    <w:p w:rsidR="0061605F" w:rsidRPr="0061605F" w:rsidRDefault="0061605F" w:rsidP="0061605F">
      <w:pPr>
        <w:spacing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 xml:space="preserve">                                             Mgr. Marína </w:t>
      </w:r>
      <w:proofErr w:type="spellStart"/>
      <w:r w:rsidRPr="0061605F">
        <w:rPr>
          <w:rFonts w:cstheme="minorHAnsi"/>
          <w:sz w:val="24"/>
          <w:szCs w:val="24"/>
        </w:rPr>
        <w:t>Štibrányiová</w:t>
      </w:r>
      <w:proofErr w:type="spellEnd"/>
    </w:p>
    <w:p w:rsidR="0061605F" w:rsidRDefault="0061605F" w:rsidP="0061605F">
      <w:pPr>
        <w:spacing w:line="240" w:lineRule="auto"/>
        <w:rPr>
          <w:rFonts w:cstheme="minorHAnsi"/>
          <w:b/>
          <w:sz w:val="24"/>
          <w:szCs w:val="24"/>
        </w:rPr>
      </w:pPr>
      <w:r w:rsidRPr="0061605F">
        <w:rPr>
          <w:rFonts w:cstheme="minorHAnsi"/>
          <w:b/>
          <w:sz w:val="24"/>
          <w:szCs w:val="24"/>
        </w:rPr>
        <w:t>Organizace výuky:</w:t>
      </w:r>
    </w:p>
    <w:p w:rsid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19. 9. – R.</w:t>
      </w:r>
      <w:r>
        <w:rPr>
          <w:rFonts w:cstheme="minorHAnsi"/>
          <w:sz w:val="24"/>
          <w:szCs w:val="24"/>
        </w:rPr>
        <w:t xml:space="preserve"> Horáková, úvodní část</w:t>
      </w:r>
    </w:p>
    <w:p w:rsidR="0061605F" w:rsidRP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26. 9. – samostatná práce dle pokynů vyučující + výstava „UCHO“</w:t>
      </w:r>
    </w:p>
    <w:p w:rsidR="0061605F" w:rsidRP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61605F">
        <w:rPr>
          <w:rFonts w:cstheme="minorHAnsi"/>
          <w:sz w:val="24"/>
          <w:szCs w:val="24"/>
        </w:rPr>
        <w:t>3. 10. – R. Horáková</w:t>
      </w:r>
    </w:p>
    <w:p w:rsidR="0061605F" w:rsidRP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10. 10. – R. Horáková</w:t>
      </w:r>
    </w:p>
    <w:p w:rsidR="0061605F" w:rsidRP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17. 10. – R. Horáková</w:t>
      </w:r>
    </w:p>
    <w:p w:rsidR="0061605F" w:rsidRP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24. 10. – samostatná práce dle pokynů vyučující</w:t>
      </w:r>
    </w:p>
    <w:p w:rsidR="0061605F" w:rsidRP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 xml:space="preserve">31. 10. – M. </w:t>
      </w:r>
      <w:proofErr w:type="spellStart"/>
      <w:r w:rsidRPr="0061605F">
        <w:rPr>
          <w:rFonts w:cstheme="minorHAnsi"/>
          <w:sz w:val="24"/>
          <w:szCs w:val="24"/>
        </w:rPr>
        <w:t>Štibrányiová</w:t>
      </w:r>
      <w:proofErr w:type="spellEnd"/>
    </w:p>
    <w:p w:rsidR="0061605F" w:rsidRP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61605F">
        <w:rPr>
          <w:rFonts w:cstheme="minorHAnsi"/>
          <w:sz w:val="24"/>
          <w:szCs w:val="24"/>
        </w:rPr>
        <w:t xml:space="preserve">7. 11. – L. </w:t>
      </w:r>
      <w:proofErr w:type="spellStart"/>
      <w:r w:rsidRPr="0061605F">
        <w:rPr>
          <w:rFonts w:cstheme="minorHAnsi"/>
          <w:sz w:val="24"/>
          <w:szCs w:val="24"/>
        </w:rPr>
        <w:t>Hricová</w:t>
      </w:r>
      <w:proofErr w:type="spellEnd"/>
    </w:p>
    <w:p w:rsidR="0061605F" w:rsidRP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 xml:space="preserve">14. 11. – L. </w:t>
      </w:r>
      <w:proofErr w:type="spellStart"/>
      <w:r w:rsidRPr="0061605F">
        <w:rPr>
          <w:rFonts w:cstheme="minorHAnsi"/>
          <w:sz w:val="24"/>
          <w:szCs w:val="24"/>
        </w:rPr>
        <w:t>Hricová</w:t>
      </w:r>
      <w:proofErr w:type="spellEnd"/>
    </w:p>
    <w:p w:rsidR="0061605F" w:rsidRP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 xml:space="preserve">21. 11. – M. </w:t>
      </w:r>
      <w:proofErr w:type="spellStart"/>
      <w:r w:rsidRPr="0061605F">
        <w:rPr>
          <w:rFonts w:cstheme="minorHAnsi"/>
          <w:sz w:val="24"/>
          <w:szCs w:val="24"/>
        </w:rPr>
        <w:t>Štibrányiová</w:t>
      </w:r>
      <w:proofErr w:type="spellEnd"/>
    </w:p>
    <w:p w:rsidR="0061605F" w:rsidRP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28. 11. – R. Horáková</w:t>
      </w:r>
    </w:p>
    <w:p w:rsidR="0061605F" w:rsidRP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61605F">
        <w:rPr>
          <w:rFonts w:cstheme="minorHAnsi"/>
          <w:sz w:val="24"/>
          <w:szCs w:val="24"/>
        </w:rPr>
        <w:t>5. 12. – R. Horáková</w:t>
      </w:r>
    </w:p>
    <w:p w:rsidR="0061605F" w:rsidRP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12. 12. – R. Horáková</w:t>
      </w:r>
    </w:p>
    <w:p w:rsidR="0061605F" w:rsidRDefault="0061605F" w:rsidP="00B22372">
      <w:pPr>
        <w:spacing w:after="0" w:line="240" w:lineRule="auto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19. 12. – zápočtový týden</w:t>
      </w:r>
    </w:p>
    <w:p w:rsidR="0061605F" w:rsidRPr="0061605F" w:rsidRDefault="0061605F" w:rsidP="0061605F">
      <w:pPr>
        <w:spacing w:line="240" w:lineRule="auto"/>
        <w:rPr>
          <w:rFonts w:cstheme="minorHAnsi"/>
          <w:b/>
          <w:sz w:val="24"/>
          <w:szCs w:val="24"/>
        </w:rPr>
      </w:pPr>
    </w:p>
    <w:p w:rsidR="0061605F" w:rsidRPr="0061605F" w:rsidRDefault="0061605F" w:rsidP="0061605F">
      <w:pPr>
        <w:spacing w:line="240" w:lineRule="auto"/>
        <w:rPr>
          <w:rFonts w:cstheme="minorHAnsi"/>
          <w:b/>
          <w:sz w:val="24"/>
          <w:szCs w:val="24"/>
        </w:rPr>
      </w:pPr>
      <w:r w:rsidRPr="0061605F">
        <w:rPr>
          <w:rFonts w:cstheme="minorHAnsi"/>
          <w:b/>
          <w:sz w:val="24"/>
          <w:szCs w:val="24"/>
        </w:rPr>
        <w:t>Požadavky:</w:t>
      </w:r>
    </w:p>
    <w:p w:rsidR="0061605F" w:rsidRPr="0061605F" w:rsidRDefault="0061605F" w:rsidP="00B2237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aktivní účast ve výuce</w:t>
      </w:r>
    </w:p>
    <w:p w:rsidR="0061605F" w:rsidRPr="0061605F" w:rsidRDefault="0061605F" w:rsidP="00B2237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vytvořit seznam prostudované odborné literatury (bude součástí Vašeho portfolia, nejedná se pouze o požadavek k tomuto předmětu)</w:t>
      </w:r>
    </w:p>
    <w:p w:rsidR="0061605F" w:rsidRPr="0061605F" w:rsidRDefault="0061605F" w:rsidP="00B2237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úspěšné složení písemné a ústní části zkoušky</w:t>
      </w:r>
    </w:p>
    <w:p w:rsidR="0061605F" w:rsidRPr="0061605F" w:rsidRDefault="0061605F" w:rsidP="00B22372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1605F">
        <w:rPr>
          <w:rFonts w:cstheme="minorHAnsi"/>
          <w:sz w:val="24"/>
          <w:szCs w:val="24"/>
        </w:rPr>
        <w:t>samostatná práce dle pokynů vyučující – organizováno jako práce ve skupině</w:t>
      </w:r>
    </w:p>
    <w:p w:rsidR="006966C6" w:rsidRPr="00B22372" w:rsidRDefault="00B22372">
      <w:pPr>
        <w:rPr>
          <w:rFonts w:cstheme="minorHAnsi"/>
          <w:b/>
          <w:sz w:val="24"/>
          <w:szCs w:val="24"/>
        </w:rPr>
      </w:pPr>
      <w:r w:rsidRPr="00B22372">
        <w:rPr>
          <w:rFonts w:cstheme="minorHAnsi"/>
          <w:b/>
          <w:sz w:val="24"/>
          <w:szCs w:val="24"/>
        </w:rPr>
        <w:t>Okruhy témat:</w:t>
      </w:r>
    </w:p>
    <w:p w:rsidR="00B22372" w:rsidRPr="00B22372" w:rsidRDefault="00B22372" w:rsidP="00B22372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Včasná intervence u jedinců se sluchovým postižených.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Střediska rané péče, speciálně pedagogická centra, formy spolupráce s rodinou, situace rodičů sluchově postiženého dítěte, zdravotnická péče, depistáž, speciálně pedagogická diagnostika, výběr školského zařízení, včasná sluchově řečová výchova</w:t>
      </w:r>
    </w:p>
    <w:p w:rsidR="00B22372" w:rsidRPr="00B22372" w:rsidRDefault="00B22372" w:rsidP="00B22372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Sluchová protetika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>. Individuální sluchová protetika, přístroje a pomůcky pro individuální logopedickou péči a sluchovou výchovu, kompenzační pomůcky a jejich význam.</w:t>
      </w:r>
    </w:p>
    <w:p w:rsidR="00B22372" w:rsidRPr="00B22372" w:rsidRDefault="00B22372" w:rsidP="00B22372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lastRenderedPageBreak/>
        <w:t>Kochleární implantát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>. Podmínky přidělení kochleárního implantátu, výběr kandidátů, předoperační příprava, logopedická péče po implantaci, metodika práce s kochleárním implantátem.</w:t>
      </w:r>
    </w:p>
    <w:p w:rsidR="00B22372" w:rsidRPr="00B22372" w:rsidRDefault="00B22372" w:rsidP="00B22372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Systém vzdělávání u jedinců se sluchovým postižením.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Předškolní zařízení, základní školy pro sluchově postižené, OU, SOU, SOŠ, SŠ pro sluchově postižené, možnost studia studentů se sluchovým postižením na VŠ. </w:t>
      </w: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Komunikační přístupy užívané ve vzdělávání dětí, žáků a studentů se sluchovým postižením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>. Speciální vyučovací metody - organizace vyučování u sluchově postižených, orální metoda, totální komunikace, bilingvální přístup, sluchově postižený pedagog.</w:t>
      </w:r>
    </w:p>
    <w:p w:rsidR="00B22372" w:rsidRPr="00B22372" w:rsidRDefault="00B22372" w:rsidP="00B22372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Možnosti vzdělávání dětí, žáků a studentů sluchovým postižením v běžných školských zařízeních.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Podmínky inkluzivního vzdělávání, podpůrná opatření, </w:t>
      </w:r>
      <w:proofErr w:type="gramStart"/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>spolupráce s SPC</w:t>
      </w:r>
      <w:proofErr w:type="gramEnd"/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služby poskytované žákům, pedagogům a rodičům, sociální inkluze. </w:t>
      </w: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Legislativní opatření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>. Legislativní opatření vztahující se ke vzdělávání dětí, žáků a studentů se sluchovým postižením, zákon o komunikačních systémech neslyšících a hluchoslepých osob, možnosti využívání tlumočení do znakového jazyka, příspěvky na kompenzační pomůcky</w:t>
      </w:r>
    </w:p>
    <w:p w:rsidR="00B22372" w:rsidRPr="00B22372" w:rsidRDefault="00B22372" w:rsidP="00B22372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Komunikace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>. Charakteristika a význam mezilidské komunikace, komunikační formy osob se sluchovým postižením – přehled a popis.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 xml:space="preserve"> </w:t>
      </w: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Vizuálně motorické systémy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>. Teoretické základy znakového jazyka, znakovaný jazyk, tlumočení znakového jazyka - podmínky tlumočení, etický kodex tlumočníka znakového jazyka.</w:t>
      </w:r>
    </w:p>
    <w:p w:rsidR="00B22372" w:rsidRPr="00B22372" w:rsidRDefault="00B22372" w:rsidP="00B22372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Komunita Neslyšících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>. Kultura Neslyšících, organizace osob se sluchovým postižením, kluby neslyšících, volnočasové aktivity, časopisy zaměřené na problematiku sluchového postižení.</w:t>
      </w:r>
    </w:p>
    <w:p w:rsidR="00B22372" w:rsidRPr="00B22372" w:rsidRDefault="00B22372" w:rsidP="00B22372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Sluchová vada a další kombinovaná postižení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>. Péče o jedince se sluchovou a další přidruženou vadou, současné pojetí vícenásobného postižení, možnosti augmentativní a alternativní komunikace</w:t>
      </w:r>
    </w:p>
    <w:p w:rsidR="00B22372" w:rsidRPr="00B22372" w:rsidRDefault="00B22372" w:rsidP="00B22372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Hluchoslepota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 xml:space="preserve">. Pojetí a klasifikace </w:t>
      </w:r>
      <w:proofErr w:type="spellStart"/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>hluchoslepoty,etiologie</w:t>
      </w:r>
      <w:proofErr w:type="spellEnd"/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 xml:space="preserve">, možnosti vzdělávání, organizace pro jedince s hluchoslepotou – LORM, Via, Záblesk, Klub přátel červenobílé hole. </w:t>
      </w:r>
    </w:p>
    <w:p w:rsidR="00B22372" w:rsidRPr="00B22372" w:rsidRDefault="00B22372" w:rsidP="00B22372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B22372">
        <w:rPr>
          <w:rFonts w:eastAsia="Times New Roman" w:cstheme="minorHAnsi"/>
          <w:b/>
          <w:bCs/>
          <w:color w:val="333333"/>
          <w:sz w:val="24"/>
          <w:szCs w:val="24"/>
          <w:lang w:eastAsia="cs-CZ"/>
        </w:rPr>
        <w:t>Komunikační systémy hluchoslepých</w:t>
      </w:r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 xml:space="preserve">. Charakteristika komunikačních forem osob s hluchoslepotou - př. mluvená řeč, prstová abeceda, Braillovo písmo, </w:t>
      </w:r>
      <w:proofErr w:type="spellStart"/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>Lormova</w:t>
      </w:r>
      <w:proofErr w:type="spellEnd"/>
      <w:r w:rsidRPr="00B22372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abeceda, daktylografie, znakový jazyk, taktilní podoba znakového jazyka</w:t>
      </w:r>
      <w:r>
        <w:rPr>
          <w:rFonts w:eastAsia="Times New Roman" w:cstheme="minorHAnsi"/>
          <w:color w:val="333333"/>
          <w:sz w:val="24"/>
          <w:szCs w:val="24"/>
          <w:lang w:eastAsia="cs-CZ"/>
        </w:rPr>
        <w:t>.</w:t>
      </w:r>
    </w:p>
    <w:p w:rsidR="00B22372" w:rsidRPr="00B22372" w:rsidRDefault="00B22372" w:rsidP="00B22372">
      <w:pPr>
        <w:jc w:val="both"/>
        <w:rPr>
          <w:rFonts w:cstheme="minorHAnsi"/>
        </w:rPr>
      </w:pPr>
    </w:p>
    <w:sectPr w:rsidR="00B22372" w:rsidRPr="00B22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97D12"/>
    <w:multiLevelType w:val="hybridMultilevel"/>
    <w:tmpl w:val="D60C1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E0AA3"/>
    <w:multiLevelType w:val="multilevel"/>
    <w:tmpl w:val="9146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5A"/>
    <w:rsid w:val="003D2126"/>
    <w:rsid w:val="0061605F"/>
    <w:rsid w:val="009F765A"/>
    <w:rsid w:val="00B2175F"/>
    <w:rsid w:val="00B22372"/>
    <w:rsid w:val="00C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F236"/>
  <w15:chartTrackingRefBased/>
  <w15:docId w15:val="{DACB69C2-DF49-418D-BFBF-01D86C2E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05F"/>
    <w:pPr>
      <w:spacing w:after="200" w:line="276" w:lineRule="auto"/>
    </w:pPr>
  </w:style>
  <w:style w:type="paragraph" w:styleId="Nadpis3">
    <w:name w:val="heading 3"/>
    <w:basedOn w:val="Normln"/>
    <w:link w:val="Nadpis3Char"/>
    <w:uiPriority w:val="9"/>
    <w:qFormat/>
    <w:rsid w:val="00CF7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605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1605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2237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CF747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rakova@ped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dcterms:created xsi:type="dcterms:W3CDTF">2019-09-18T20:19:00Z</dcterms:created>
  <dcterms:modified xsi:type="dcterms:W3CDTF">2019-09-18T20:47:00Z</dcterms:modified>
</cp:coreProperties>
</file>