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12" w:rsidRPr="001F3712" w:rsidRDefault="001F3712" w:rsidP="001F3712">
      <w:pPr>
        <w:pStyle w:val="Nadpis1"/>
        <w:shd w:val="clear" w:color="auto" w:fill="FFFFFF"/>
        <w:spacing w:before="60" w:after="60" w:line="676" w:lineRule="atLeast"/>
        <w:rPr>
          <w:rFonts w:asciiTheme="minorHAnsi" w:hAnsiTheme="minorHAnsi" w:cstheme="minorHAnsi"/>
          <w:b/>
          <w:bCs/>
          <w:color w:val="070707"/>
          <w:sz w:val="28"/>
          <w:szCs w:val="28"/>
        </w:rPr>
      </w:pPr>
      <w:bookmarkStart w:id="0" w:name="_GoBack"/>
      <w:r w:rsidRPr="001F3712">
        <w:rPr>
          <w:rFonts w:asciiTheme="minorHAnsi" w:hAnsiTheme="minorHAnsi" w:cstheme="minorHAnsi"/>
          <w:b/>
          <w:bCs/>
          <w:color w:val="070707"/>
          <w:sz w:val="28"/>
          <w:szCs w:val="28"/>
        </w:rPr>
        <w:t>Vyhláška č. 70/2012 Sb.</w:t>
      </w:r>
      <w:r w:rsidRPr="001F3712">
        <w:rPr>
          <w:rFonts w:asciiTheme="minorHAnsi" w:hAnsiTheme="minorHAnsi" w:cstheme="minorHAnsi"/>
          <w:b/>
          <w:bCs/>
          <w:color w:val="070707"/>
          <w:sz w:val="28"/>
          <w:szCs w:val="28"/>
        </w:rPr>
        <w:t xml:space="preserve"> - </w:t>
      </w:r>
      <w:r w:rsidRPr="001F3712">
        <w:rPr>
          <w:rStyle w:val="h1a"/>
          <w:rFonts w:asciiTheme="minorHAnsi" w:hAnsiTheme="minorHAnsi" w:cstheme="minorHAnsi"/>
          <w:b/>
          <w:bCs/>
          <w:i/>
          <w:iCs/>
          <w:color w:val="070707"/>
          <w:sz w:val="28"/>
          <w:szCs w:val="28"/>
        </w:rPr>
        <w:t>Vyhláška o preventivních prohlídkách</w:t>
      </w:r>
    </w:p>
    <w:bookmarkEnd w:id="0"/>
    <w:p w:rsidR="001F3712" w:rsidRPr="001F3712" w:rsidRDefault="001F3712" w:rsidP="001F3712">
      <w:pPr>
        <w:shd w:val="clear" w:color="auto" w:fill="FFFFFF"/>
        <w:spacing w:after="0" w:line="330" w:lineRule="atLeast"/>
        <w:outlineLvl w:val="2"/>
        <w:rPr>
          <w:rFonts w:eastAsia="Times New Roman" w:cstheme="minorHAnsi"/>
          <w:b/>
          <w:bCs/>
          <w:color w:val="08A8F8"/>
          <w:sz w:val="24"/>
          <w:szCs w:val="24"/>
          <w:lang w:eastAsia="cs-CZ"/>
        </w:rPr>
      </w:pPr>
    </w:p>
    <w:p w:rsidR="001F3712" w:rsidRPr="001F3712" w:rsidRDefault="001F3712" w:rsidP="001F3712">
      <w:pPr>
        <w:shd w:val="clear" w:color="auto" w:fill="FFFFFF"/>
        <w:spacing w:after="0" w:line="330" w:lineRule="atLeast"/>
        <w:outlineLvl w:val="2"/>
        <w:rPr>
          <w:rFonts w:eastAsia="Times New Roman" w:cstheme="minorHAnsi"/>
          <w:b/>
          <w:bCs/>
          <w:color w:val="08A8F8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8A8F8"/>
          <w:sz w:val="24"/>
          <w:szCs w:val="24"/>
          <w:lang w:eastAsia="cs-CZ"/>
        </w:rPr>
        <w:t>Obsah a časové rozmezí všeobecné preventivní prohlídky dětí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FF84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FF8400"/>
          <w:sz w:val="24"/>
          <w:szCs w:val="24"/>
          <w:lang w:eastAsia="cs-CZ"/>
        </w:rPr>
        <w:t>§ 3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(1)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Obsahem všeobecných preventivních prohlídek dětí od narození do 18 měsíců věku je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a)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založení zdravotnické dokumentace při přijetí dítěte do péče,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anamnéza a zjištění změn zdravotního stavu od poslední kontroly, kontrola očkování dítěte, popřípadě doplnění chybějícího očkování, v rozsahu stanoveném právními předpisy upravujícími očkování proti infekčním nemocem</w:t>
      </w:r>
      <w:hyperlink r:id="rId4" w:anchor="f4557139" w:history="1">
        <w:r w:rsidRPr="001F3712">
          <w:rPr>
            <w:rFonts w:eastAsia="Times New Roman" w:cstheme="minorHAnsi"/>
            <w:b/>
            <w:bCs/>
            <w:color w:val="05507A"/>
            <w:sz w:val="24"/>
            <w:szCs w:val="24"/>
            <w:u w:val="single"/>
            <w:vertAlign w:val="superscript"/>
            <w:lang w:eastAsia="cs-CZ"/>
          </w:rPr>
          <w:t>1</w:t>
        </w:r>
        <w:r w:rsidRPr="001F3712">
          <w:rPr>
            <w:rFonts w:eastAsia="Times New Roman" w:cstheme="minorHAnsi"/>
            <w:b/>
            <w:bCs/>
            <w:color w:val="05507A"/>
            <w:sz w:val="24"/>
            <w:szCs w:val="24"/>
            <w:u w:val="single"/>
            <w:lang w:eastAsia="cs-CZ"/>
          </w:rPr>
          <w:t>)</w:t>
        </w:r>
      </w:hyperlink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c)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fyzikální vyšetření, jehož součástí je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1.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zjištění hmotnosti, délky dítěte a obvodu jeho hlavy, zhodnocení těchto parametrů podle růstových grafů,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2.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interní vyšetření,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3.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vyšetření psychomotorického vývoje,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4.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cílené vyšetření specifické pro daný věk a zjištění zdravotního rizika včetně rizika týrání, zanedbávání a zneužívání dítěte,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diagnostická rozvaha,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e)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závěr a poučení rodiče o výživě a režimu dítěte včetně úrazové prevence podle specifik pro daný věk,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f)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psychoterapeutický rozhovor s rodičem, jde-li o dítě s poruchami zdravotního stavu nebo o dítě ohrožené poruchami zdravotního stavu včetně poruch zdravotního stavu v důsledku vlivu nepříznivého rodinného nebo jiného společenského prostředí.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(2)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Dále je obsahem všeobecné preventivní prohlídky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a)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novorozence, která se jako první provádí zpravidla do 2 dnů po propuštění ze zdravotnického zařízení, ve kterém byly poskytnuty zdravotní služby v souvislosti s porodem, a to pokud je to možné v jeho vlastním sociálním prostředí,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1.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posouzení sociálního prostředí dítěte, rodinná anamnéza, osobní a těhotenská anamnéza matky, prenatální, perinatální a postnatální anamnéza a zhodnocení lékařské zprávy o novorozenci,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2.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vyšetření spočívající v posouzení celkového stavu dítěte, vyšetření kůže a podkožní vrstvy, vlasů a nehtů, vyšetření mízních uzlin, svalstva a kostry, hlavy včetně tvaru, velikosti fontanel a změření obvodu hlavy, dále vyšetření očí a jejich okolí včetně postavení bulbů a spojivek, vyšetření uší, nosu, dutiny ústní, krku, hrudníku, jeho obvodu a tvaru a stavu klíčních kostí, fyzikální nález na srdci a plicích, vyšetření břicha včetně jeho velikosti, palpačního vyšetření nitrobřišních orgánů a pupeční jizvy, dále vyšetření třísel včetně palpačního vyšetření a pulzu na stehenních tepnách, vyšetření genitálu, končetin včetně jejich symetrie, deformity a hybnosti v kyčelních kloubech a vyšetření psychomotorického vývoje včetně novorozeneckých reflexů,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3.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ověření, zda bylo provedeno preventivní vyšetření sluchu, a v případě jeho neprovedení určení dalšího postupu,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4.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kontrola preventivního podání vitaminu K a poučení o opakování preventivního podání,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5.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poučení o preventivním podávání vitaminu D,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6.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kontrola dotazníku k definici rizika tuberkulózy, a doporučení dalšího postupu podle vyhlášky upravující očkování proti infekčním nemocem,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7.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poučení o péči o novorozence a o kojení, případně o umělé mléčné výživě,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lastRenderedPageBreak/>
        <w:t>b)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dětí ve 14 dnech věku, kromě vyšetření uvedených v písmenu a) bodě 2, zjištění výživy dítěte, kontrola zahájení preventivního podávání vitaminu D proti křivici, potřebná poučení rodiče dítěte a doporučení odborného ortopedického vyšetření kyčlí mezi třetím až šestým týdnem věku,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c)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dětí v 6 týdnech věku, kromě vyšetření uvedených v písmenu a) bodě 2, kontrola výsledku ortopedického vyšetření a kontrola preventivního podávání vitaminu D, orientační vyšetření zraku, kontrola zahájení očkování a plán dalšího očkování,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dětí ve 3 měsících věku, kromě vyšetření uvedených v písmenu a) bodě 2, kontrola preventivního podávání vitaminu D, kontrola očkování a plán dalšího očkování,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e)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dětí ve 4 až 5 měsících věku, kromě vyšetření uvedených v písmenu a) bodě 2, orientační vyšetření zraku a sluchu, kontrola očkování a plán dalšího očkování, vyšetření uložení varlat u chlapců a poučení o výživě dítěte,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f)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dětí v 6 měsících věku, kromě vyšetření uvedených v písmenu a) bodě 2, kontrola preventivního podávání vitaminu D, kontrola vývoje chrupu a poučení rodiče o nutnosti registrace dítěte u zubního lékaře v druhém půlroce života dítěte a jeho zapojení do pravidelných zubních prohlídek,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g)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dětí v 8 měsících věku, kromě vyšetření uvedených v písmenu a) bodě 2, orientační vyšetření zraku a sluchu,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h)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dětí v 10 až 11 měsících věku, kromě vyšetření uvedených v písmenu a) bodě 2, kontrola preventivního podávání vitaminu D,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dětí ve 12 měsících věku, kromě vyšetření uvedených v písmenu a) bodě 2, zjištění základních antropometrických ukazatelů a jejich zhodnocení, kontrola preventivního podávání vitaminu D, zjištění velikosti velké fontanely, vyšetření zraku a sluchu, vývoje řeči a chrupu a potřebná poučení rodiče dítěte, informace o hygieně dutiny ústní, individuální zvážení celkového příjmu fluoridů, doporučení stomatologického vyšetření, kontrola očkování a plán dalšího očkování dítěte,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j)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dětí v 18 měsících věku, kromě vyšetření uvedených v písmenu a) bodě 2, kontrola stavu velké fontanely, vývoje a stavu chrupu včetně doporučení stomatologického vyšetření, vyšetření zraku a sluchu, posouzení psychomotorického vývoje se zaměřením na hrubou a jemnou motoriku, rozvoj řeči a sociální chování dítěte, provedení vyšetření za účelem včasné diagnostiky poruch autistického spektra, kontrola očkování a plán dalšího očkování dítěte.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FF84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FF8400"/>
          <w:sz w:val="24"/>
          <w:szCs w:val="24"/>
          <w:lang w:eastAsia="cs-CZ"/>
        </w:rPr>
        <w:t>§ 4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(1)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Obsahem všeobecných preventivních prohlídek dětí ve 3 letech věku je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a)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rozhovor s rodičem zaměřený na nová anamnestická fakta, kontrola a plán očkování dítěte, popřípadě doplnění chybějícího očkování, v rozsahu stanoveném právními předpisy upravujícími očkování proti infekčním nemocem</w:t>
      </w:r>
      <w:hyperlink r:id="rId5" w:anchor="f4557139" w:history="1">
        <w:r w:rsidRPr="001F3712">
          <w:rPr>
            <w:rFonts w:eastAsia="Times New Roman" w:cstheme="minorHAnsi"/>
            <w:b/>
            <w:bCs/>
            <w:color w:val="05507A"/>
            <w:sz w:val="24"/>
            <w:szCs w:val="24"/>
            <w:u w:val="single"/>
            <w:vertAlign w:val="superscript"/>
            <w:lang w:eastAsia="cs-CZ"/>
          </w:rPr>
          <w:t>1</w:t>
        </w:r>
        <w:r w:rsidRPr="001F3712">
          <w:rPr>
            <w:rFonts w:eastAsia="Times New Roman" w:cstheme="minorHAnsi"/>
            <w:b/>
            <w:bCs/>
            <w:color w:val="05507A"/>
            <w:sz w:val="24"/>
            <w:szCs w:val="24"/>
            <w:u w:val="single"/>
            <w:lang w:eastAsia="cs-CZ"/>
          </w:rPr>
          <w:t>)</w:t>
        </w:r>
      </w:hyperlink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zhodnocení psychosomatického vývoje, jemné a hrubé motoriky, sociálního chování a hygienických návyků dítěte,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c)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zjištění hmotnosti a výšky, zhodnocení těchto parametrů podle růstových grafů z důvodu odhalení případné podvýživy, nadváhy nebo obezity,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kompletní fyzikální vyšetření včetně prohlídky kůže a vyloučení známek týrání, zanedbávání a zneužívání dítěte,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e)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vyšetření očí a zraku,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f)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vyšetření řeči, hlasu a sluchu,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g)  orientační vyšetření laterality a znalosti barev,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h)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vyšetření moči diagnostickým papírkem,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vyšetření krevního tlaku a pulzu,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lastRenderedPageBreak/>
        <w:t>j)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vyšetření dutiny ústní, popřípadě doporučení stomatologického vyšetření,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k)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vyšetření genitálu a u dívek zjištění případného výtoku,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l)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závěrečný rozhovor lékaře s rodičem zaměřený k získání aktivní spolupráce, poučení rodiče o výživě a režimu dítěte včetně úrazové prevence podle specifik pro daný věk, popřípadě podpůrný psychoterapeutický rozhovor, zejména jde-li o vážně nemocné dítě, ohrožené dítě a problematiku funkčnosti rodiny.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(2)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Obsahem všeobecných preventivních prohlídek dětí v 5 letech věku je kromě úkonů uvedených v odstavci 1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a)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zjištění hmotnosti a výšky, zjištění hmotnostně-výškového poměru a posouzení růstu dítěte podle růstových grafů z důvodu odhalení případné podvýživy, nadváhy nebo obezity, zhodnocení psychomotorického vývoje k předběžnému posouzení školní zralosti,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vyšetření znalosti barev s požadavkem jejich samostatného slovního označení,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c)</w:t>
      </w: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 kontrola hygienických návyků dítěte se zaměřením na pomočování,</w:t>
      </w:r>
    </w:p>
    <w:p w:rsidR="001F3712" w:rsidRPr="001F3712" w:rsidRDefault="001F3712" w:rsidP="001F371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d)  vyšetření koncentrace celkového cholesterolu, HDL-cholesterolu, LDL-cholesterolu a </w:t>
      </w:r>
      <w:proofErr w:type="spellStart"/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triacylglycerolů</w:t>
      </w:r>
      <w:proofErr w:type="spellEnd"/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vyskytuje-li se v rodinné anamnéze ischemická choroba srdeční, infarkt myokardu, angina pectoris, náhlé cévní mozkové příhody nebo </w:t>
      </w:r>
      <w:proofErr w:type="spellStart"/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>hyperlipoproteinemie</w:t>
      </w:r>
      <w:proofErr w:type="spellEnd"/>
      <w:r w:rsidRPr="001F371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do 55 let věku a další rizikové faktory.</w:t>
      </w:r>
    </w:p>
    <w:p w:rsidR="006966C6" w:rsidRPr="001F3712" w:rsidRDefault="001F3712">
      <w:pPr>
        <w:rPr>
          <w:rFonts w:cstheme="minorHAnsi"/>
          <w:sz w:val="24"/>
          <w:szCs w:val="24"/>
        </w:rPr>
      </w:pPr>
    </w:p>
    <w:sectPr w:rsidR="006966C6" w:rsidRPr="001F3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F2"/>
    <w:rsid w:val="00154AF2"/>
    <w:rsid w:val="001F3712"/>
    <w:rsid w:val="003D2126"/>
    <w:rsid w:val="00B2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E902"/>
  <w15:chartTrackingRefBased/>
  <w15:docId w15:val="{2F1CE7FA-F17B-42A7-B975-74AB3F30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3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1F37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F371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1F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1F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F3712"/>
    <w:rPr>
      <w:i/>
      <w:iCs/>
    </w:rPr>
  </w:style>
  <w:style w:type="paragraph" w:customStyle="1" w:styleId="l4">
    <w:name w:val="l4"/>
    <w:basedOn w:val="Normln"/>
    <w:rsid w:val="001F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3712"/>
    <w:rPr>
      <w:color w:val="0000FF"/>
      <w:u w:val="single"/>
    </w:rPr>
  </w:style>
  <w:style w:type="paragraph" w:customStyle="1" w:styleId="l5">
    <w:name w:val="l5"/>
    <w:basedOn w:val="Normln"/>
    <w:rsid w:val="001F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F3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1F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konyprolidi.cz/cs/2012-70" TargetMode="External"/><Relationship Id="rId4" Type="http://schemas.openxmlformats.org/officeDocument/2006/relationships/hyperlink" Target="https://www.zakonyprolidi.cz/cs/2012-7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1088</Words>
  <Characters>6425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2019-09-29T21:49:00Z</dcterms:created>
  <dcterms:modified xsi:type="dcterms:W3CDTF">2019-09-29T21:51:00Z</dcterms:modified>
</cp:coreProperties>
</file>