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E4" w:rsidRDefault="00FF36E4" w:rsidP="00FF36E4">
      <w:pPr>
        <w:pStyle w:val="Vchoz2LTGliederung1"/>
        <w:tabs>
          <w:tab w:val="left" w:pos="-1134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F36E4" w:rsidRDefault="00FF36E4" w:rsidP="00FF36E4">
      <w:pPr>
        <w:pStyle w:val="Vchoz2LTGliederung1"/>
        <w:spacing w:after="0" w:line="360" w:lineRule="auto"/>
        <w:jc w:val="both"/>
        <w:rPr>
          <w:rFonts w:ascii="Times New Roman" w:eastAsia="Calibri" w:hAnsi="Times New Roman" w:cs="Calibri"/>
          <w:b/>
          <w:bCs/>
          <w:color w:val="auto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</w:pPr>
    </w:p>
    <w:p w:rsidR="00FF36E4" w:rsidRDefault="00FF36E4" w:rsidP="00FF36E4">
      <w:pPr>
        <w:pStyle w:val="Vchoz2LTGliederung1"/>
        <w:spacing w:after="0" w:line="360" w:lineRule="auto"/>
        <w:jc w:val="center"/>
        <w:rPr>
          <w:rFonts w:ascii="Times New Roman" w:eastAsia="Calibri" w:hAnsi="Times New Roman" w:cs="Calibri"/>
          <w:b/>
          <w:bCs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</w:pPr>
      <w:proofErr w:type="spellStart"/>
      <w:r>
        <w:rPr>
          <w:rFonts w:ascii="Times New Roman" w:eastAsia="Calibri" w:hAnsi="Times New Roman" w:cs="Calibri"/>
          <w:b/>
          <w:bCs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>Hudebněsociologické</w:t>
      </w:r>
      <w:proofErr w:type="spellEnd"/>
      <w:r>
        <w:rPr>
          <w:rFonts w:ascii="Times New Roman" w:eastAsia="Calibri" w:hAnsi="Times New Roman" w:cs="Calibri"/>
          <w:b/>
          <w:bCs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 xml:space="preserve"> v</w:t>
      </w:r>
      <w:r>
        <w:rPr>
          <w:rFonts w:ascii="Times New Roman" w:eastAsia="Calibri" w:hAnsi="Times New Roman" w:cs="Calibri"/>
          <w:b/>
          <w:bCs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 xml:space="preserve">ýzkumy </w:t>
      </w:r>
      <w:r>
        <w:rPr>
          <w:rFonts w:ascii="Times New Roman" w:eastAsia="Calibri" w:hAnsi="Times New Roman" w:cs="Calibri"/>
          <w:b/>
          <w:bCs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 xml:space="preserve">od </w:t>
      </w:r>
      <w:r>
        <w:rPr>
          <w:rFonts w:ascii="Times New Roman" w:eastAsia="Calibri" w:hAnsi="Times New Roman" w:cs="Calibri"/>
          <w:b/>
          <w:bCs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>druhé polovin</w:t>
      </w:r>
      <w:r>
        <w:rPr>
          <w:rFonts w:ascii="Times New Roman" w:eastAsia="Calibri" w:hAnsi="Times New Roman" w:cs="Calibri"/>
          <w:b/>
          <w:bCs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>y</w:t>
      </w:r>
      <w:bookmarkStart w:id="0" w:name="_GoBack"/>
      <w:bookmarkEnd w:id="0"/>
      <w:r>
        <w:rPr>
          <w:rFonts w:ascii="Times New Roman" w:eastAsia="Calibri" w:hAnsi="Times New Roman" w:cs="Calibri"/>
          <w:b/>
          <w:bCs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  <w:t xml:space="preserve"> 20. století</w:t>
      </w:r>
    </w:p>
    <w:p w:rsidR="00FF36E4" w:rsidRDefault="00FF36E4" w:rsidP="00FF36E4">
      <w:pPr>
        <w:pStyle w:val="Vchoz2LTGliederung1"/>
        <w:spacing w:after="0" w:line="360" w:lineRule="auto"/>
        <w:jc w:val="center"/>
        <w:rPr>
          <w:rFonts w:ascii="Times New Roman" w:eastAsia="Calibri" w:hAnsi="Times New Roman" w:cs="Calibri"/>
          <w:color w:val="auto"/>
          <w:sz w:val="24"/>
          <w:szCs w:val="24"/>
          <w:u w:val="single"/>
          <w14:shadow w14:blurRad="0" w14:dist="17957" w14:dir="2700000" w14:sx="100000" w14:sy="100000" w14:kx="0" w14:ky="0" w14:algn="b">
            <w14:srgbClr w14:val="000000"/>
          </w14:shadow>
        </w:rPr>
      </w:pPr>
    </w:p>
    <w:p w:rsidR="00FF36E4" w:rsidRDefault="00FF36E4" w:rsidP="00FF36E4">
      <w:pPr>
        <w:pStyle w:val="PreformattedText"/>
        <w:widowControl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velký přínos pro hudební vědu měl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Výzkum současné hudebnosti</w:t>
      </w:r>
      <w:r>
        <w:rPr>
          <w:rFonts w:ascii="Times New Roman" w:hAnsi="Times New Roman"/>
          <w:color w:val="000000"/>
          <w:sz w:val="24"/>
          <w:szCs w:val="24"/>
        </w:rPr>
        <w:t xml:space="preserve"> provedený v roce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1966 a 1969 Vladimírem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Karbusickým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Jaroslavem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Kasanem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půdě Čs. rozhlasu</w:t>
      </w:r>
    </w:p>
    <w:p w:rsidR="00FF36E4" w:rsidRDefault="00FF36E4" w:rsidP="00FF36E4">
      <w:pPr>
        <w:pStyle w:val="PreformattedText"/>
        <w:widowControl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byly zjišťovány postoje k různým žánrům v souvislosti s profesí; hudební postoje jednotlivců souvisí s příslušností k profesní nebo společenské skupině</w:t>
      </w:r>
    </w:p>
    <w:p w:rsidR="00FF36E4" w:rsidRDefault="00FF36E4" w:rsidP="00FF36E4">
      <w:pPr>
        <w:pStyle w:val="PreformattedText"/>
        <w:widowControl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F36E4" w:rsidRDefault="00FF36E4" w:rsidP="00FF36E4">
      <w:pPr>
        <w:pStyle w:val="PreformattedText"/>
        <w:widowControl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v 80. letech byly významné výzkumy vedené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Zdeňkem Markem a Bedřichem Crhou </w:t>
      </w:r>
      <w:r>
        <w:rPr>
          <w:rFonts w:ascii="Times New Roman" w:hAnsi="Times New Roman"/>
          <w:color w:val="000000"/>
          <w:sz w:val="24"/>
          <w:szCs w:val="24"/>
        </w:rPr>
        <w:t>zaměřené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recepci jednotlivých hudebních žánrů u skupin respondentů, které se navzájem lišily úrovní hudebního vzdělání i vztahem k provozování hudby na základě profesní příslušnosti</w:t>
      </w:r>
    </w:p>
    <w:p w:rsidR="00FF36E4" w:rsidRDefault="00FF36E4" w:rsidP="00FF36E4">
      <w:pPr>
        <w:pStyle w:val="PreformattedText"/>
        <w:widowControl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hlavním cílem bylo prokázat schopnost pozitivního přijetí hudby na základě porozumění jeho hudebnímu jazyku, k němuž dochází na pozadí vytvořené zkušenosti s daným kódem.</w:t>
      </w:r>
    </w:p>
    <w:p w:rsidR="00FF36E4" w:rsidRDefault="00FF36E4" w:rsidP="00FF36E4">
      <w:pPr>
        <w:pStyle w:val="Standard"/>
        <w:widowControl/>
        <w:spacing w:line="360" w:lineRule="auto"/>
        <w:jc w:val="both"/>
        <w:rPr>
          <w:color w:val="000000"/>
        </w:rPr>
      </w:pPr>
    </w:p>
    <w:p w:rsidR="00FF36E4" w:rsidRDefault="00FF36E4" w:rsidP="00FF36E4">
      <w:pPr>
        <w:pStyle w:val="PreformattedText"/>
        <w:widowControl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v roce 1989 byl připravován nový výzkum označený jako Usnesení vlády ČSSR o zábavné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hudbě;  iniciátorem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výzkumu byl znovu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Jaroslav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36E4" w:rsidRDefault="00FF36E4" w:rsidP="00FF36E4">
      <w:pPr>
        <w:pStyle w:val="PreformattedText"/>
        <w:widowControl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cílem bylo zjistit a interpretovat postoje respondentů k nejrůznějším hudebním žánrům, především v souvislosti s jejich </w:t>
      </w:r>
      <w:r>
        <w:rPr>
          <w:rFonts w:ascii="Times New Roman" w:eastAsia="Calibri" w:hAnsi="Times New Roman" w:cs="Calibri"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socioekonomickým postavením, popsat projevy aktivní a pasivní hudebnosti a sledovat roli hudby, především hudby populární, v životě mladých lidí; výzkumná zpráva vyšla v roce 1991 jako Výzkum hudebnosti 1990</w:t>
      </w:r>
    </w:p>
    <w:p w:rsidR="00FF36E4" w:rsidRDefault="00FF36E4" w:rsidP="00FF36E4">
      <w:pPr>
        <w:pStyle w:val="PreformattedText"/>
        <w:widowControl/>
        <w:autoSpaceDE w:val="0"/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</w:pPr>
    </w:p>
    <w:p w:rsidR="00FF36E4" w:rsidRDefault="00FF36E4" w:rsidP="00FF36E4">
      <w:pPr>
        <w:pStyle w:val="PreformattedText"/>
        <w:widowControl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 roce 2000:</w:t>
      </w:r>
    </w:p>
    <w:p w:rsidR="00FF36E4" w:rsidRDefault="00FF36E4" w:rsidP="00FF36E4">
      <w:pPr>
        <w:pStyle w:val="PreformattedText"/>
        <w:widowControl/>
        <w:autoSpaceDE w:val="0"/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– významný výzkum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 xml:space="preserve"> Hudební posluchači v České republice</w:t>
      </w:r>
      <w:r>
        <w:rPr>
          <w:rFonts w:ascii="Times New Roman" w:eastAsia="Calibri" w:hAnsi="Times New Roman" w:cs="Calibri"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,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Times New Roman" w:eastAsia="Calibri" w:hAnsi="Times New Roman" w:cs="Calibri"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 xml:space="preserve">řešitelem grantového projektu Ministerstva kultury ČR byl </w:t>
      </w:r>
      <w:r>
        <w:rPr>
          <w:rFonts w:ascii="Times New Roman" w:eastAsia="Calibri" w:hAnsi="Times New Roman" w:cs="Calibri"/>
          <w:b/>
          <w:bCs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Mikuláš Bek</w:t>
      </w:r>
    </w:p>
    <w:p w:rsidR="00FF36E4" w:rsidRDefault="00FF36E4" w:rsidP="00FF36E4">
      <w:pPr>
        <w:pStyle w:val="PreformattedText"/>
        <w:widowControl/>
        <w:autoSpaceDE w:val="0"/>
        <w:spacing w:line="36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</w:pPr>
    </w:p>
    <w:p w:rsidR="00FF36E4" w:rsidRDefault="00FF36E4" w:rsidP="00FF36E4">
      <w:pPr>
        <w:pStyle w:val="Standard"/>
        <w:widowControl/>
        <w:spacing w:line="360" w:lineRule="auto"/>
        <w:jc w:val="both"/>
        <w:rPr>
          <w:color w:val="000000"/>
        </w:rPr>
      </w:pPr>
      <w:r>
        <w:rPr>
          <w:color w:val="000000"/>
        </w:rPr>
        <w:t>– ve výzkumech se ukazuje, že vztah k artificiální hudbě souvisí s hudebním vzděláním (porozuměním hudebnímu jazyku), což prokazuje důležitost hudební výchovy</w:t>
      </w:r>
    </w:p>
    <w:p w:rsidR="00FF36E4" w:rsidRDefault="00FF36E4" w:rsidP="00FF36E4">
      <w:pPr>
        <w:pStyle w:val="Standard"/>
        <w:widowControl/>
        <w:spacing w:line="360" w:lineRule="auto"/>
        <w:jc w:val="both"/>
        <w:rPr>
          <w:color w:val="000000"/>
        </w:rPr>
      </w:pPr>
    </w:p>
    <w:p w:rsidR="00FF36E4" w:rsidRDefault="00FF36E4" w:rsidP="00FF36E4">
      <w:pPr>
        <w:pStyle w:val="Standard"/>
        <w:spacing w:line="360" w:lineRule="auto"/>
        <w:jc w:val="both"/>
      </w:pPr>
      <w:r>
        <w:t xml:space="preserve">– nejnovější </w:t>
      </w:r>
      <w:r>
        <w:rPr>
          <w:b/>
          <w:bCs/>
        </w:rPr>
        <w:t xml:space="preserve">výzkumy katedry </w:t>
      </w:r>
      <w:proofErr w:type="spellStart"/>
      <w:r>
        <w:rPr>
          <w:b/>
          <w:bCs/>
        </w:rPr>
        <w:t>Hv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MU</w:t>
      </w:r>
      <w:r>
        <w:t>:</w:t>
      </w:r>
    </w:p>
    <w:p w:rsidR="00FF36E4" w:rsidRDefault="00FF36E4" w:rsidP="00FF36E4">
      <w:pPr>
        <w:pStyle w:val="Standard"/>
        <w:spacing w:line="360" w:lineRule="auto"/>
        <w:jc w:val="both"/>
      </w:pPr>
      <w:r>
        <w:rPr>
          <w:b/>
          <w:bCs/>
        </w:rPr>
        <w:t>2012, 2013</w:t>
      </w:r>
      <w:r>
        <w:t xml:space="preserve"> – byly zkoumány hudební preference vysokoškoláků v ČR a v EU (1278 a 271 respondentů)</w:t>
      </w:r>
    </w:p>
    <w:p w:rsidR="00FF36E4" w:rsidRDefault="00FF36E4" w:rsidP="00FF36E4">
      <w:pPr>
        <w:pStyle w:val="Standard"/>
        <w:spacing w:line="360" w:lineRule="auto"/>
        <w:jc w:val="both"/>
      </w:pPr>
      <w:r>
        <w:rPr>
          <w:b/>
          <w:bCs/>
        </w:rPr>
        <w:t>2014</w:t>
      </w:r>
      <w:r>
        <w:t xml:space="preserve"> – stejné zadání, zkoumáno ve státech hlásících se k programu International Society </w:t>
      </w:r>
      <w:proofErr w:type="spellStart"/>
      <w:r>
        <w:t>for</w:t>
      </w:r>
      <w:proofErr w:type="spellEnd"/>
      <w:r>
        <w:t xml:space="preserve"> Music </w:t>
      </w:r>
      <w:proofErr w:type="spellStart"/>
      <w:proofErr w:type="gramStart"/>
      <w:r>
        <w:t>Education</w:t>
      </w:r>
      <w:proofErr w:type="spellEnd"/>
      <w:r>
        <w:t xml:space="preserve">  (</w:t>
      </w:r>
      <w:proofErr w:type="gramEnd"/>
      <w:r>
        <w:t>2 635 resp.)</w:t>
      </w:r>
    </w:p>
    <w:p w:rsidR="00FF36E4" w:rsidRDefault="00FF36E4" w:rsidP="00FF36E4">
      <w:pPr>
        <w:pStyle w:val="Standard"/>
        <w:spacing w:line="360" w:lineRule="auto"/>
        <w:jc w:val="both"/>
      </w:pPr>
      <w:r>
        <w:rPr>
          <w:b/>
          <w:bCs/>
        </w:rPr>
        <w:t>2015</w:t>
      </w:r>
      <w:r>
        <w:t xml:space="preserve"> – zkoumány postoje respondentů k artificiální hudbě prvních dvou třetin 20. století (2 213 resp.)</w:t>
      </w:r>
    </w:p>
    <w:p w:rsidR="00FF36E4" w:rsidRDefault="00FF36E4" w:rsidP="00FF36E4">
      <w:pPr>
        <w:pStyle w:val="Standard"/>
        <w:spacing w:line="360" w:lineRule="auto"/>
        <w:jc w:val="both"/>
      </w:pPr>
      <w:r>
        <w:rPr>
          <w:b/>
          <w:bCs/>
        </w:rPr>
        <w:t>2016</w:t>
      </w:r>
      <w:r>
        <w:t xml:space="preserve"> – </w:t>
      </w:r>
      <w:proofErr w:type="spellStart"/>
      <w:r>
        <w:t>artif</w:t>
      </w:r>
      <w:proofErr w:type="spellEnd"/>
      <w:r>
        <w:t>. hudba poslední třetiny 20. století (2 081 resp.); zde šlo o preference, toleranci, ale i schopnost identifikovat žánry; u skladeb 20. století byla měřena i doba, dokdy respondent vydrží ukázku poslouchat</w:t>
      </w:r>
    </w:p>
    <w:p w:rsidR="00FF36E4" w:rsidRDefault="00FF36E4" w:rsidP="00FF36E4">
      <w:pPr>
        <w:pStyle w:val="Standard"/>
        <w:spacing w:line="360" w:lineRule="auto"/>
        <w:jc w:val="both"/>
      </w:pPr>
      <w:r>
        <w:rPr>
          <w:b/>
          <w:bCs/>
        </w:rPr>
        <w:t>2017, 2018</w:t>
      </w:r>
      <w:r>
        <w:t xml:space="preserve"> – ve výzkumech byla zkoumána role multimédií ve výuce hudební výchovy</w:t>
      </w:r>
    </w:p>
    <w:p w:rsidR="00FF36E4" w:rsidRDefault="00FF36E4" w:rsidP="00FF36E4">
      <w:pPr>
        <w:pStyle w:val="Standard"/>
        <w:spacing w:line="360" w:lineRule="auto"/>
        <w:jc w:val="both"/>
      </w:pPr>
    </w:p>
    <w:p w:rsidR="00FF36E4" w:rsidRDefault="00FF36E4" w:rsidP="00FF36E4">
      <w:pPr>
        <w:pStyle w:val="Standard"/>
        <w:spacing w:line="360" w:lineRule="auto"/>
        <w:jc w:val="both"/>
      </w:pPr>
      <w:r>
        <w:t>– při výzkumném dotazování se využívá i počítačových technologií, otázky jsou zasílány mailem nebo pokládány pomocí elektronických dotazníků apod.</w:t>
      </w:r>
    </w:p>
    <w:p w:rsidR="00FF36E4" w:rsidRDefault="00FF36E4" w:rsidP="00FF36E4">
      <w:pPr>
        <w:pStyle w:val="Standard"/>
        <w:spacing w:line="360" w:lineRule="auto"/>
        <w:jc w:val="both"/>
      </w:pPr>
      <w:proofErr w:type="gramStart"/>
      <w:r>
        <w:t>CAPI  –</w:t>
      </w:r>
      <w:proofErr w:type="gramEnd"/>
      <w:r>
        <w:t xml:space="preserve"> osobní dotazování (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Interwieving</w:t>
      </w:r>
      <w:proofErr w:type="spellEnd"/>
      <w:r>
        <w:t>)</w:t>
      </w:r>
    </w:p>
    <w:p w:rsidR="00FF36E4" w:rsidRDefault="00FF36E4" w:rsidP="00FF36E4">
      <w:pPr>
        <w:pStyle w:val="Standard"/>
        <w:widowControl/>
        <w:autoSpaceDE w:val="0"/>
        <w:spacing w:line="360" w:lineRule="auto"/>
        <w:jc w:val="both"/>
        <w:rPr>
          <w:rFonts w:eastAsia="Calibri" w:cs="Calibri"/>
          <w:color w:val="000000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eastAsia="Calibri" w:cs="Calibri"/>
          <w:color w:val="000000"/>
          <w14:shadow w14:blurRad="0" w14:dist="17957" w14:dir="2700000" w14:sx="100000" w14:sy="100000" w14:kx="0" w14:ky="0" w14:algn="b">
            <w14:srgbClr w14:val="000000"/>
          </w14:shadow>
        </w:rPr>
        <w:t xml:space="preserve">CAWI – internetové on-line dotazování (C. A. </w:t>
      </w:r>
      <w:proofErr w:type="gramStart"/>
      <w:r>
        <w:rPr>
          <w:rFonts w:eastAsia="Calibri" w:cs="Calibri"/>
          <w:color w:val="000000"/>
          <w14:shadow w14:blurRad="0" w14:dist="17957" w14:dir="2700000" w14:sx="100000" w14:sy="100000" w14:kx="0" w14:ky="0" w14:algn="b">
            <w14:srgbClr w14:val="000000"/>
          </w14:shadow>
        </w:rPr>
        <w:t>Web</w:t>
      </w:r>
      <w:proofErr w:type="gramEnd"/>
      <w:r>
        <w:rPr>
          <w:rFonts w:eastAsia="Calibri" w:cs="Calibri"/>
          <w:color w:val="000000"/>
          <w14:shadow w14:blurRad="0" w14:dist="17957" w14:dir="2700000" w14:sx="100000" w14:sy="100000" w14:kx="0" w14:ky="0" w14:algn="b">
            <w14:srgbClr w14:val="000000"/>
          </w14:shadow>
        </w:rPr>
        <w:t xml:space="preserve"> I.)</w:t>
      </w:r>
    </w:p>
    <w:p w:rsidR="00FF36E4" w:rsidRDefault="00FF36E4" w:rsidP="00FF36E4">
      <w:pPr>
        <w:pStyle w:val="Standard"/>
        <w:spacing w:line="360" w:lineRule="auto"/>
        <w:jc w:val="both"/>
        <w:rPr>
          <w:rFonts w:eastAsia="Calibri" w:cs="Calibri"/>
          <w:color w:val="000000"/>
          <w14:shadow w14:blurRad="0" w14:dist="17957" w14:dir="2700000" w14:sx="100000" w14:sy="100000" w14:kx="0" w14:ky="0" w14:algn="b">
            <w14:srgbClr w14:val="000000"/>
          </w14:shadow>
        </w:rPr>
      </w:pPr>
    </w:p>
    <w:p w:rsidR="00FF36E4" w:rsidRDefault="00FF36E4"/>
    <w:sectPr w:rsidR="00FF36E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E4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D43"/>
  <w15:chartTrackingRefBased/>
  <w15:docId w15:val="{9114DC85-2E22-4CF3-9B0C-36589CFF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F3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Vchoz2LTGliederung1">
    <w:name w:val="Výchozí 2~LT~Gliederung 1"/>
    <w:rsid w:val="00FF36E4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Mangal" w:eastAsia="Mangal" w:hAnsi="Mangal" w:cs="Mangal"/>
      <w:color w:val="000000"/>
      <w:kern w:val="3"/>
      <w:sz w:val="52"/>
      <w:szCs w:val="52"/>
      <w:lang w:eastAsia="zh-CN" w:bidi="hi-IN"/>
    </w:rPr>
  </w:style>
  <w:style w:type="paragraph" w:customStyle="1" w:styleId="PreformattedText">
    <w:name w:val="Preformatted Text"/>
    <w:basedOn w:val="Standard"/>
    <w:rsid w:val="00FF36E4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2020-12-14T13:26:00Z</dcterms:created>
  <dcterms:modified xsi:type="dcterms:W3CDTF">2020-12-14T13:28:00Z</dcterms:modified>
</cp:coreProperties>
</file>