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91471" w14:textId="1BC1D075" w:rsidR="008869F9" w:rsidRPr="001266C4" w:rsidRDefault="001266C4">
      <w:pPr>
        <w:rPr>
          <w:b/>
          <w:bCs/>
        </w:rPr>
      </w:pPr>
      <w:r>
        <w:rPr>
          <w:b/>
          <w:bCs/>
        </w:rPr>
        <w:t xml:space="preserve">ISP </w:t>
      </w:r>
      <w:r w:rsidR="008546DA" w:rsidRPr="001266C4">
        <w:rPr>
          <w:b/>
          <w:bCs/>
        </w:rPr>
        <w:t>Podpůrná opatření</w:t>
      </w:r>
    </w:p>
    <w:p w14:paraId="1D59F301" w14:textId="77777777" w:rsidR="001266C4" w:rsidRDefault="008546DA" w:rsidP="001266C4">
      <w:pPr>
        <w:pBdr>
          <w:bottom w:val="single" w:sz="4" w:space="1" w:color="auto"/>
        </w:pBdr>
      </w:pPr>
      <w:r>
        <w:t>Samostudium – náhrada kontaktní výuky dne 5. 10. 2021</w:t>
      </w:r>
      <w:r w:rsidR="001266C4">
        <w:t>.</w:t>
      </w:r>
    </w:p>
    <w:p w14:paraId="37F314B7" w14:textId="61E2450A" w:rsidR="008546DA" w:rsidRDefault="001266C4" w:rsidP="001266C4">
      <w:pPr>
        <w:pBdr>
          <w:bottom w:val="single" w:sz="4" w:space="1" w:color="auto"/>
        </w:pBdr>
      </w:pPr>
      <w:r>
        <w:t>Téma: Uvedení do problematiky: podpůrná opatření)</w:t>
      </w:r>
    </w:p>
    <w:p w14:paraId="6E683C19" w14:textId="648F760A" w:rsidR="008546DA" w:rsidRDefault="008546DA" w:rsidP="001266C4">
      <w:pPr>
        <w:spacing w:line="360" w:lineRule="auto"/>
        <w:jc w:val="both"/>
      </w:pPr>
      <w:r>
        <w:t>Vymezení základních pojmů:</w:t>
      </w:r>
    </w:p>
    <w:p w14:paraId="6EB04C99" w14:textId="75E0F4EF" w:rsidR="008546DA" w:rsidRDefault="008546DA" w:rsidP="001266C4">
      <w:pPr>
        <w:spacing w:line="360" w:lineRule="auto"/>
        <w:jc w:val="both"/>
      </w:pPr>
      <w:r w:rsidRPr="001266C4">
        <w:rPr>
          <w:b/>
          <w:bCs/>
        </w:rPr>
        <w:t xml:space="preserve">Žák se SVP </w:t>
      </w:r>
      <w:r>
        <w:t>(speciální vzdělávací potřeby)</w:t>
      </w:r>
    </w:p>
    <w:p w14:paraId="5434BBAC" w14:textId="7B33F3AD" w:rsidR="009135C5" w:rsidRDefault="008546DA" w:rsidP="001266C4">
      <w:pPr>
        <w:spacing w:line="360" w:lineRule="auto"/>
        <w:jc w:val="both"/>
      </w:pPr>
      <w:r>
        <w:t>Definice vychází se současné legislativy (Školský zákon 82/2</w:t>
      </w:r>
      <w:r w:rsidR="009135C5">
        <w:t xml:space="preserve">015). Jde o žáka, který ke svému vzdělávání </w:t>
      </w:r>
      <w:r w:rsidR="0049254F">
        <w:t>potřebuje)</w:t>
      </w:r>
      <w:r w:rsidR="001266C4">
        <w:t xml:space="preserve"> </w:t>
      </w:r>
      <w:r w:rsidR="0049254F">
        <w:t xml:space="preserve">vychází z </w:t>
      </w:r>
      <w:r w:rsidR="001266C4">
        <w:t>ú</w:t>
      </w:r>
      <w:r w:rsidR="009135C5">
        <w:t xml:space="preserve">pravy prostředí a dalších aspektů v průběhu </w:t>
      </w:r>
      <w:r w:rsidR="001266C4">
        <w:t>vzdělávání</w:t>
      </w:r>
      <w:r w:rsidR="009135C5">
        <w:t xml:space="preserve"> (katalog podpůrných opatření</w:t>
      </w:r>
      <w:r w:rsidR="0049254F">
        <w:t>)</w:t>
      </w:r>
      <w:r w:rsidR="009135C5">
        <w:t>.</w:t>
      </w:r>
    </w:p>
    <w:p w14:paraId="3B1F6ACD" w14:textId="732041E5" w:rsidR="00B06AD4" w:rsidRDefault="00B06AD4" w:rsidP="001266C4">
      <w:pPr>
        <w:spacing w:line="360" w:lineRule="auto"/>
        <w:jc w:val="both"/>
      </w:pPr>
      <w:r>
        <w:t>Dítětem, žákem, či studentem (dále jen „žák“) se speciálními vzdělávacími potřebami je žák, který k naplnění svých vzdělávacích možností nebo k uplatnění a užívání svých práv na rovnoprávném základě s ostatními, potřebuje poskytnutí podpůrných opatření vyplývajících z jeho individuálních potřeb na základě jeho zdravotního stavu, odlišného kulturního prostředí nebo jiných životních podmínek (zdroj MŠMT).</w:t>
      </w:r>
    </w:p>
    <w:p w14:paraId="0F14D8F4" w14:textId="66B4A734" w:rsidR="001266C4" w:rsidRPr="001266C4" w:rsidRDefault="001266C4" w:rsidP="001266C4">
      <w:pPr>
        <w:spacing w:after="0" w:line="360" w:lineRule="auto"/>
        <w:jc w:val="both"/>
        <w:textAlignment w:val="baseline"/>
        <w:outlineLvl w:val="1"/>
        <w:rPr>
          <w:rFonts w:eastAsia="Times New Roman" w:cstheme="minorHAnsi"/>
          <w:b/>
          <w:bCs/>
          <w:caps/>
          <w:color w:val="000000"/>
          <w:lang w:eastAsia="cs-CZ"/>
        </w:rPr>
      </w:pPr>
      <w:r>
        <w:rPr>
          <w:rFonts w:eastAsia="Times New Roman" w:cstheme="minorHAnsi"/>
          <w:b/>
          <w:bCs/>
          <w:caps/>
          <w:color w:val="000000"/>
          <w:bdr w:val="none" w:sz="0" w:space="0" w:color="auto" w:frame="1"/>
          <w:lang w:eastAsia="cs-CZ"/>
        </w:rPr>
        <w:t>Podpůrná opatření</w:t>
      </w:r>
    </w:p>
    <w:p w14:paraId="2DD3C795" w14:textId="77777777" w:rsidR="001266C4" w:rsidRPr="001266C4" w:rsidRDefault="001266C4" w:rsidP="001266C4">
      <w:pPr>
        <w:spacing w:after="0" w:line="360" w:lineRule="auto"/>
        <w:jc w:val="both"/>
        <w:textAlignment w:val="baseline"/>
        <w:rPr>
          <w:rFonts w:eastAsia="Times New Roman" w:cstheme="minorHAnsi"/>
          <w:color w:val="000000"/>
          <w:lang w:eastAsia="cs-CZ"/>
        </w:rPr>
      </w:pPr>
      <w:r w:rsidRPr="001266C4">
        <w:rPr>
          <w:rFonts w:eastAsia="Times New Roman" w:cstheme="minorHAnsi"/>
          <w:color w:val="000000"/>
          <w:lang w:eastAsia="cs-CZ"/>
        </w:rPr>
        <w:t xml:space="preserve">Podpůrná opatření představují podporu pro práci pedagoga se žákem, kdy jeho vzdělávání v různé míře vyžaduje </w:t>
      </w:r>
      <w:r w:rsidRPr="001266C4">
        <w:rPr>
          <w:rFonts w:eastAsia="Times New Roman" w:cstheme="minorHAnsi"/>
          <w:b/>
          <w:bCs/>
          <w:color w:val="000000"/>
          <w:lang w:eastAsia="cs-CZ"/>
        </w:rPr>
        <w:t>upravit průběh jeho vzdělávání</w:t>
      </w:r>
      <w:r w:rsidRPr="001266C4">
        <w:rPr>
          <w:rFonts w:eastAsia="Times New Roman" w:cstheme="minorHAnsi"/>
          <w:color w:val="000000"/>
          <w:lang w:eastAsia="cs-CZ"/>
        </w:rPr>
        <w:t>.</w:t>
      </w:r>
    </w:p>
    <w:p w14:paraId="309C68C9" w14:textId="77777777" w:rsidR="001266C4" w:rsidRPr="001266C4" w:rsidRDefault="001266C4" w:rsidP="001266C4">
      <w:pPr>
        <w:spacing w:after="120" w:line="360" w:lineRule="auto"/>
        <w:jc w:val="both"/>
        <w:textAlignment w:val="baseline"/>
        <w:rPr>
          <w:rFonts w:eastAsia="Times New Roman" w:cstheme="minorHAnsi"/>
          <w:color w:val="000000"/>
          <w:lang w:eastAsia="cs-CZ"/>
        </w:rPr>
      </w:pPr>
      <w:r w:rsidRPr="001266C4">
        <w:rPr>
          <w:rFonts w:eastAsia="Times New Roman" w:cstheme="minorHAnsi"/>
          <w:b/>
          <w:bCs/>
          <w:color w:val="000000"/>
          <w:lang w:eastAsia="cs-CZ"/>
        </w:rPr>
        <w:t xml:space="preserve">Cílem </w:t>
      </w:r>
      <w:r w:rsidRPr="001266C4">
        <w:rPr>
          <w:rFonts w:eastAsia="Times New Roman" w:cstheme="minorHAnsi"/>
          <w:color w:val="000000"/>
          <w:lang w:eastAsia="cs-CZ"/>
        </w:rPr>
        <w:t xml:space="preserve">úprav </w:t>
      </w:r>
      <w:r w:rsidRPr="001266C4">
        <w:rPr>
          <w:rFonts w:eastAsia="Times New Roman" w:cstheme="minorHAnsi"/>
          <w:b/>
          <w:bCs/>
          <w:color w:val="000000"/>
          <w:lang w:eastAsia="cs-CZ"/>
        </w:rPr>
        <w:t>je</w:t>
      </w:r>
      <w:r w:rsidRPr="001266C4">
        <w:rPr>
          <w:rFonts w:eastAsia="Times New Roman" w:cstheme="minorHAnsi"/>
          <w:color w:val="000000"/>
          <w:lang w:eastAsia="cs-CZ"/>
        </w:rPr>
        <w:t xml:space="preserve"> především </w:t>
      </w:r>
      <w:r w:rsidRPr="001266C4">
        <w:rPr>
          <w:rFonts w:eastAsia="Times New Roman" w:cstheme="minorHAnsi"/>
          <w:b/>
          <w:bCs/>
          <w:color w:val="000000"/>
          <w:lang w:eastAsia="cs-CZ"/>
        </w:rPr>
        <w:t>vyrovnávat podmínky ke vzdělávání žáka</w:t>
      </w:r>
      <w:r w:rsidRPr="001266C4">
        <w:rPr>
          <w:rFonts w:eastAsia="Times New Roman" w:cstheme="minorHAnsi"/>
          <w:color w:val="000000"/>
          <w:lang w:eastAsia="cs-CZ"/>
        </w:rPr>
        <w:t>, které mohou být ovlivněny mírnými problémy nebo závažnými obtížemi, které jsou způsobeny nepřipraveností žáka na školu, odlišnými životními podmínkami a odlišným kulturním prostředím ze kterého žák vstupuje do vzdělávání. Současně početnou skupinu budou představovat žáci s nepříznivým aktuálním zdravotním stavem, který může ovlivňovat vzdělávání žáků nebo zdravotní postižení žáka.</w:t>
      </w:r>
    </w:p>
    <w:p w14:paraId="18461BF6" w14:textId="77777777" w:rsidR="001266C4" w:rsidRDefault="001266C4" w:rsidP="001266C4">
      <w:pPr>
        <w:spacing w:after="120" w:line="360" w:lineRule="auto"/>
        <w:jc w:val="both"/>
        <w:textAlignment w:val="baseline"/>
        <w:rPr>
          <w:rFonts w:eastAsia="Times New Roman" w:cstheme="minorHAnsi"/>
          <w:color w:val="000000"/>
          <w:lang w:eastAsia="cs-CZ"/>
        </w:rPr>
      </w:pPr>
      <w:r w:rsidRPr="001266C4">
        <w:rPr>
          <w:rFonts w:eastAsia="Times New Roman" w:cstheme="minorHAnsi"/>
          <w:color w:val="000000"/>
          <w:lang w:eastAsia="cs-CZ"/>
        </w:rPr>
        <w:t>Podpůrná opatření jsou definována školským zákonem, podle rozsahu a obsahu</w:t>
      </w:r>
      <w:r>
        <w:rPr>
          <w:rFonts w:eastAsia="Times New Roman" w:cstheme="minorHAnsi"/>
          <w:color w:val="000000"/>
          <w:lang w:eastAsia="cs-CZ"/>
        </w:rPr>
        <w:t>.</w:t>
      </w:r>
    </w:p>
    <w:p w14:paraId="7B6CAFB2" w14:textId="1F6E02BB" w:rsidR="001266C4" w:rsidRPr="001266C4" w:rsidRDefault="001266C4" w:rsidP="001266C4">
      <w:pPr>
        <w:spacing w:after="120" w:line="360" w:lineRule="auto"/>
        <w:jc w:val="both"/>
        <w:textAlignment w:val="baseline"/>
        <w:rPr>
          <w:rFonts w:eastAsia="Times New Roman" w:cstheme="minorHAnsi"/>
          <w:b/>
          <w:bCs/>
          <w:color w:val="000000"/>
          <w:lang w:eastAsia="cs-CZ"/>
        </w:rPr>
      </w:pPr>
      <w:r w:rsidRPr="001266C4">
        <w:rPr>
          <w:rFonts w:eastAsia="Times New Roman" w:cstheme="minorHAnsi"/>
          <w:b/>
          <w:bCs/>
          <w:color w:val="000000"/>
          <w:lang w:eastAsia="cs-CZ"/>
        </w:rPr>
        <w:t xml:space="preserve">PO se člení do I. – V. stupně. </w:t>
      </w:r>
    </w:p>
    <w:p w14:paraId="139D4736" w14:textId="46BA0DF2" w:rsidR="001266C4" w:rsidRPr="001266C4" w:rsidRDefault="001266C4" w:rsidP="001266C4">
      <w:pPr>
        <w:spacing w:after="120" w:line="240" w:lineRule="auto"/>
        <w:jc w:val="both"/>
        <w:textAlignment w:val="baseline"/>
        <w:rPr>
          <w:rFonts w:eastAsia="Times New Roman" w:cstheme="minorHAnsi"/>
          <w:color w:val="000000"/>
          <w:lang w:eastAsia="cs-CZ"/>
        </w:rPr>
      </w:pPr>
      <w:r w:rsidRPr="001266C4">
        <w:rPr>
          <w:rFonts w:eastAsia="Times New Roman" w:cstheme="minorHAnsi"/>
          <w:color w:val="000000"/>
          <w:lang w:eastAsia="cs-CZ"/>
        </w:rPr>
        <w:t>Vedle organizace vzdělávání obsahují také speciální učebnice a pomůcky a kompenzační pomůcky</w:t>
      </w:r>
      <w:r>
        <w:rPr>
          <w:rFonts w:eastAsia="Times New Roman" w:cstheme="minorHAnsi"/>
          <w:color w:val="000000"/>
          <w:lang w:eastAsia="cs-CZ"/>
        </w:rPr>
        <w:t xml:space="preserve"> (zdroj: </w:t>
      </w:r>
      <w:r w:rsidRPr="001266C4">
        <w:rPr>
          <w:rFonts w:eastAsia="Times New Roman" w:cstheme="minorHAnsi"/>
          <w:color w:val="000000"/>
          <w:lang w:eastAsia="cs-CZ"/>
        </w:rPr>
        <w:t>http://www.nuv.cz/t/podpurna-opatreni</w:t>
      </w:r>
      <w:r>
        <w:rPr>
          <w:rFonts w:eastAsia="Times New Roman" w:cstheme="minorHAnsi"/>
          <w:color w:val="000000"/>
          <w:lang w:eastAsia="cs-CZ"/>
        </w:rPr>
        <w:t>).</w:t>
      </w:r>
    </w:p>
    <w:p w14:paraId="378CF630" w14:textId="77777777" w:rsidR="001266C4" w:rsidRPr="001266C4" w:rsidRDefault="001266C4" w:rsidP="001266C4">
      <w:pPr>
        <w:jc w:val="both"/>
        <w:rPr>
          <w:rFonts w:cstheme="minorHAnsi"/>
        </w:rPr>
      </w:pPr>
    </w:p>
    <w:p w14:paraId="4E6BF5AB" w14:textId="11528E59" w:rsidR="009135C5" w:rsidRDefault="009135C5">
      <w:r>
        <w:t>Pod níže uvedeným odkazem MŠMT si pročtěte část věnovanou společnému vzdělávání – žák se SVP.</w:t>
      </w:r>
    </w:p>
    <w:p w14:paraId="272BB29E" w14:textId="09E1544D" w:rsidR="009135C5" w:rsidRDefault="009135C5">
      <w:r>
        <w:t xml:space="preserve">Odkaz zde: </w:t>
      </w:r>
      <w:hyperlink r:id="rId4" w:history="1">
        <w:r w:rsidRPr="005E7853">
          <w:rPr>
            <w:rStyle w:val="Hypertextovodkaz"/>
          </w:rPr>
          <w:t>https://www.msmt.cz/vzdelavani/13-informace-ke-vzdelavani-zaku-se-specialnimi-vzdelavacimi</w:t>
        </w:r>
      </w:hyperlink>
    </w:p>
    <w:p w14:paraId="3897C982" w14:textId="31982EF1" w:rsidR="009135C5" w:rsidRDefault="00B06AD4">
      <w:r>
        <w:t xml:space="preserve">Ve školním roce 2017/2018 bylo v běžných školách vzděláno z celkového počtu žáků se zdravotním postižením 72%. To je jeden z důvodů, proč je třeba věnovat pozornost této skupině žáků vzdělávaných v hlavním vzdělávacím proudu (zdroj: Katalog </w:t>
      </w:r>
      <w:r w:rsidR="001266C4">
        <w:t>podpůrných</w:t>
      </w:r>
      <w:r>
        <w:t xml:space="preserve"> </w:t>
      </w:r>
      <w:r w:rsidR="001266C4">
        <w:t>opatření).</w:t>
      </w:r>
    </w:p>
    <w:p w14:paraId="364D8FA5" w14:textId="588C7A57" w:rsidR="001266C4" w:rsidRDefault="001266C4"/>
    <w:p w14:paraId="203E4DCC" w14:textId="2F6C3B79" w:rsidR="001266C4" w:rsidRDefault="001266C4">
      <w:r>
        <w:t xml:space="preserve">Dalším důležitým legislativním předpisem je </w:t>
      </w:r>
      <w:r w:rsidRPr="001266C4">
        <w:rPr>
          <w:b/>
          <w:bCs/>
        </w:rPr>
        <w:t>Vyhláška č. 27/2016 Sb., o vzdělávání žáků se SVP a žáků mimořádně nadaných</w:t>
      </w:r>
      <w:r>
        <w:t>. Touto vyhláškou se řídí uplatňování podpůrných opatření:</w:t>
      </w:r>
    </w:p>
    <w:p w14:paraId="1265E062" w14:textId="77777777" w:rsidR="00D003E8" w:rsidRPr="00D003E8" w:rsidRDefault="00D003E8" w:rsidP="00D003E8">
      <w:pPr>
        <w:pStyle w:val="l3"/>
        <w:spacing w:before="0" w:beforeAutospacing="0" w:after="0" w:afterAutospacing="0"/>
        <w:jc w:val="both"/>
        <w:rPr>
          <w:rFonts w:asciiTheme="minorHAnsi" w:hAnsiTheme="minorHAnsi" w:cstheme="minorHAnsi"/>
          <w:b/>
          <w:bCs/>
          <w:color w:val="FF8400"/>
          <w:sz w:val="20"/>
          <w:szCs w:val="20"/>
        </w:rPr>
      </w:pPr>
      <w:r w:rsidRPr="00D003E8">
        <w:rPr>
          <w:rFonts w:asciiTheme="minorHAnsi" w:hAnsiTheme="minorHAnsi" w:cstheme="minorHAnsi"/>
          <w:b/>
          <w:bCs/>
          <w:color w:val="FF8400"/>
          <w:sz w:val="20"/>
          <w:szCs w:val="20"/>
        </w:rPr>
        <w:t>§ 2</w:t>
      </w:r>
    </w:p>
    <w:p w14:paraId="695DC77F" w14:textId="77777777" w:rsidR="00D003E8" w:rsidRPr="00D003E8" w:rsidRDefault="00D003E8" w:rsidP="00D003E8">
      <w:pPr>
        <w:pStyle w:val="Nadpis3"/>
        <w:spacing w:before="0" w:line="330" w:lineRule="atLeast"/>
        <w:jc w:val="both"/>
        <w:rPr>
          <w:rFonts w:asciiTheme="minorHAnsi" w:hAnsiTheme="minorHAnsi" w:cstheme="minorHAnsi"/>
          <w:b/>
          <w:bCs/>
          <w:color w:val="08A8F8"/>
          <w:sz w:val="22"/>
          <w:szCs w:val="22"/>
        </w:rPr>
      </w:pPr>
      <w:r w:rsidRPr="00D003E8">
        <w:rPr>
          <w:rFonts w:asciiTheme="minorHAnsi" w:hAnsiTheme="minorHAnsi" w:cstheme="minorHAnsi"/>
          <w:color w:val="08A8F8"/>
          <w:sz w:val="22"/>
          <w:szCs w:val="22"/>
        </w:rPr>
        <w:t>Podpůrná opatření</w:t>
      </w:r>
    </w:p>
    <w:p w14:paraId="4DBB404F" w14:textId="77777777" w:rsidR="00D003E8" w:rsidRPr="00D003E8" w:rsidRDefault="00D003E8" w:rsidP="00D003E8">
      <w:pPr>
        <w:pStyle w:val="l4"/>
        <w:spacing w:before="0" w:beforeAutospacing="0" w:after="0" w:afterAutospacing="0"/>
        <w:jc w:val="both"/>
        <w:rPr>
          <w:rFonts w:asciiTheme="minorHAnsi" w:hAnsiTheme="minorHAnsi" w:cstheme="minorHAnsi"/>
          <w:color w:val="000000"/>
          <w:sz w:val="20"/>
          <w:szCs w:val="20"/>
        </w:rPr>
      </w:pPr>
      <w:r w:rsidRPr="00D003E8">
        <w:rPr>
          <w:rStyle w:val="PromnnHTML"/>
          <w:rFonts w:asciiTheme="minorHAnsi" w:hAnsiTheme="minorHAnsi" w:cstheme="minorHAnsi"/>
          <w:b/>
          <w:bCs/>
          <w:i w:val="0"/>
          <w:iCs w:val="0"/>
          <w:color w:val="000000"/>
          <w:sz w:val="20"/>
          <w:szCs w:val="20"/>
        </w:rPr>
        <w:t>(1)</w:t>
      </w:r>
      <w:r w:rsidRPr="00D003E8">
        <w:rPr>
          <w:rFonts w:asciiTheme="minorHAnsi" w:hAnsiTheme="minorHAnsi" w:cstheme="minorHAnsi"/>
          <w:color w:val="000000"/>
          <w:sz w:val="20"/>
          <w:szCs w:val="20"/>
        </w:rPr>
        <w:t> Podpůrná opatření prvního stupně představují minimální úpravu metod, organizace a hodnocení vzdělávání a jsou poskytována žákovi, u kterého se projevuje potřeba úprav ve vzdělávání nebo školských službách a zapojení v kolektivu. Podpůrná opatření prvního stupně nemají normovanou finanční náročnost.</w:t>
      </w:r>
    </w:p>
    <w:p w14:paraId="239EE321" w14:textId="77777777" w:rsidR="00D003E8" w:rsidRPr="00D003E8" w:rsidRDefault="00D003E8" w:rsidP="00D003E8">
      <w:pPr>
        <w:pStyle w:val="l4"/>
        <w:spacing w:before="0" w:beforeAutospacing="0" w:after="0" w:afterAutospacing="0"/>
        <w:jc w:val="both"/>
        <w:rPr>
          <w:rFonts w:asciiTheme="minorHAnsi" w:hAnsiTheme="minorHAnsi" w:cstheme="minorHAnsi"/>
          <w:color w:val="000000"/>
          <w:sz w:val="20"/>
          <w:szCs w:val="20"/>
        </w:rPr>
      </w:pPr>
      <w:r w:rsidRPr="00D003E8">
        <w:rPr>
          <w:rStyle w:val="PromnnHTML"/>
          <w:rFonts w:asciiTheme="minorHAnsi" w:hAnsiTheme="minorHAnsi" w:cstheme="minorHAnsi"/>
          <w:b/>
          <w:bCs/>
          <w:i w:val="0"/>
          <w:iCs w:val="0"/>
          <w:color w:val="000000"/>
          <w:sz w:val="20"/>
          <w:szCs w:val="20"/>
        </w:rPr>
        <w:t>(2)</w:t>
      </w:r>
      <w:r w:rsidRPr="00D003E8">
        <w:rPr>
          <w:rFonts w:asciiTheme="minorHAnsi" w:hAnsiTheme="minorHAnsi" w:cstheme="minorHAnsi"/>
          <w:color w:val="000000"/>
          <w:sz w:val="20"/>
          <w:szCs w:val="20"/>
        </w:rPr>
        <w:t> Pokud by k naplnění vzdělávacích potřeb žáka nepostačovalo poskytování podpůrných opatření prvního stupně, doporučí škola nebo školské zařízení (dále jen „škola“) žákovi využití poradenské pomoci školského poradenského zařízení za účelem posouzení jeho speciálních vzdělávacích potřeb.</w:t>
      </w:r>
    </w:p>
    <w:p w14:paraId="217C26F5" w14:textId="77777777" w:rsidR="00D003E8" w:rsidRPr="00D003E8" w:rsidRDefault="00D003E8" w:rsidP="00D003E8">
      <w:pPr>
        <w:pStyle w:val="l4"/>
        <w:spacing w:before="0" w:beforeAutospacing="0" w:after="0" w:afterAutospacing="0"/>
        <w:jc w:val="both"/>
        <w:rPr>
          <w:rFonts w:asciiTheme="minorHAnsi" w:hAnsiTheme="minorHAnsi" w:cstheme="minorHAnsi"/>
          <w:color w:val="000000"/>
          <w:sz w:val="20"/>
          <w:szCs w:val="20"/>
        </w:rPr>
      </w:pPr>
      <w:r w:rsidRPr="00D003E8">
        <w:rPr>
          <w:rStyle w:val="PromnnHTML"/>
          <w:rFonts w:asciiTheme="minorHAnsi" w:hAnsiTheme="minorHAnsi" w:cstheme="minorHAnsi"/>
          <w:b/>
          <w:bCs/>
          <w:i w:val="0"/>
          <w:iCs w:val="0"/>
          <w:color w:val="000000"/>
          <w:sz w:val="20"/>
          <w:szCs w:val="20"/>
        </w:rPr>
        <w:t>(3)</w:t>
      </w:r>
      <w:r w:rsidRPr="00D003E8">
        <w:rPr>
          <w:rFonts w:asciiTheme="minorHAnsi" w:hAnsiTheme="minorHAnsi" w:cstheme="minorHAnsi"/>
          <w:color w:val="000000"/>
          <w:sz w:val="20"/>
          <w:szCs w:val="20"/>
        </w:rPr>
        <w:t> Podpůrná opatření druhého až pátého stupně se poskytují na základě doporučení školského poradenského zařízení a s informovaným souhlasem zletilého žáka nebo zákonného zástupce žáka.</w:t>
      </w:r>
    </w:p>
    <w:p w14:paraId="32EF40CC" w14:textId="77777777" w:rsidR="00D003E8" w:rsidRPr="00D003E8" w:rsidRDefault="00D003E8" w:rsidP="00D003E8">
      <w:pPr>
        <w:pStyle w:val="l4"/>
        <w:spacing w:before="0" w:beforeAutospacing="0" w:after="0" w:afterAutospacing="0"/>
        <w:jc w:val="both"/>
        <w:rPr>
          <w:rFonts w:asciiTheme="minorHAnsi" w:hAnsiTheme="minorHAnsi" w:cstheme="minorHAnsi"/>
          <w:color w:val="000000"/>
          <w:sz w:val="20"/>
          <w:szCs w:val="20"/>
        </w:rPr>
      </w:pPr>
      <w:r w:rsidRPr="00D003E8">
        <w:rPr>
          <w:rStyle w:val="PromnnHTML"/>
          <w:rFonts w:asciiTheme="minorHAnsi" w:hAnsiTheme="minorHAnsi" w:cstheme="minorHAnsi"/>
          <w:b/>
          <w:bCs/>
          <w:i w:val="0"/>
          <w:iCs w:val="0"/>
          <w:color w:val="000000"/>
          <w:sz w:val="20"/>
          <w:szCs w:val="20"/>
        </w:rPr>
        <w:t>(4)</w:t>
      </w:r>
      <w:r w:rsidRPr="00D003E8">
        <w:rPr>
          <w:rFonts w:asciiTheme="minorHAnsi" w:hAnsiTheme="minorHAnsi" w:cstheme="minorHAnsi"/>
          <w:color w:val="000000"/>
          <w:sz w:val="20"/>
          <w:szCs w:val="20"/>
        </w:rPr>
        <w:t> Podpůrná opatření se poskytují samostatně nebo v kombinacích různých druhů a stupňů v souladu se zjištěnými speciálními vzdělávacími potřebami žáka. Konkrétní druh podpůrného opatření lze poskytovat pouze v jednom stupni.</w:t>
      </w:r>
    </w:p>
    <w:p w14:paraId="66325344" w14:textId="77777777" w:rsidR="001266C4" w:rsidRDefault="001266C4"/>
    <w:p w14:paraId="53C47224" w14:textId="39FCE7E2" w:rsidR="001266C4" w:rsidRDefault="00D003E8">
      <w:r>
        <w:t xml:space="preserve">Další, doplňující informace ke společnému vzdělávání můžete nalézt na portále RVP: </w:t>
      </w:r>
      <w:hyperlink r:id="rId5" w:history="1">
        <w:r w:rsidRPr="005E7853">
          <w:rPr>
            <w:rStyle w:val="Hypertextovodkaz"/>
          </w:rPr>
          <w:t>https://digifolio.rvp.cz/view/view.php?id=14243</w:t>
        </w:r>
      </w:hyperlink>
    </w:p>
    <w:p w14:paraId="25CF8E3D" w14:textId="77777777" w:rsidR="00D003E8" w:rsidRDefault="00D003E8"/>
    <w:p w14:paraId="2827CF86" w14:textId="77777777" w:rsidR="009135C5" w:rsidRDefault="009135C5"/>
    <w:p w14:paraId="318BABF5" w14:textId="77777777" w:rsidR="009135C5" w:rsidRDefault="009135C5"/>
    <w:p w14:paraId="37D54330" w14:textId="23DEB78E" w:rsidR="009135C5" w:rsidRDefault="009135C5"/>
    <w:p w14:paraId="522165AA" w14:textId="5A6B93DA" w:rsidR="008546DA" w:rsidRDefault="008546DA"/>
    <w:sectPr w:rsidR="008546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DA"/>
    <w:rsid w:val="001266C4"/>
    <w:rsid w:val="0049254F"/>
    <w:rsid w:val="008546DA"/>
    <w:rsid w:val="008869F9"/>
    <w:rsid w:val="009135C5"/>
    <w:rsid w:val="00B06AD4"/>
    <w:rsid w:val="00D003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F417"/>
  <w15:chartTrackingRefBased/>
  <w15:docId w15:val="{69ABA375-19D4-4F25-AA3B-D12084B3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1266C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D003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135C5"/>
    <w:rPr>
      <w:color w:val="0563C1" w:themeColor="hyperlink"/>
      <w:u w:val="single"/>
    </w:rPr>
  </w:style>
  <w:style w:type="character" w:styleId="Nevyeenzmnka">
    <w:name w:val="Unresolved Mention"/>
    <w:basedOn w:val="Standardnpsmoodstavce"/>
    <w:uiPriority w:val="99"/>
    <w:semiHidden/>
    <w:unhideWhenUsed/>
    <w:rsid w:val="009135C5"/>
    <w:rPr>
      <w:color w:val="605E5C"/>
      <w:shd w:val="clear" w:color="auto" w:fill="E1DFDD"/>
    </w:rPr>
  </w:style>
  <w:style w:type="character" w:customStyle="1" w:styleId="Nadpis2Char">
    <w:name w:val="Nadpis 2 Char"/>
    <w:basedOn w:val="Standardnpsmoodstavce"/>
    <w:link w:val="Nadpis2"/>
    <w:uiPriority w:val="9"/>
    <w:rsid w:val="001266C4"/>
    <w:rPr>
      <w:rFonts w:ascii="Times New Roman" w:eastAsia="Times New Roman" w:hAnsi="Times New Roman" w:cs="Times New Roman"/>
      <w:b/>
      <w:bCs/>
      <w:sz w:val="36"/>
      <w:szCs w:val="36"/>
      <w:lang w:eastAsia="cs-CZ"/>
    </w:rPr>
  </w:style>
  <w:style w:type="paragraph" w:customStyle="1" w:styleId="article-perex">
    <w:name w:val="article-perex"/>
    <w:basedOn w:val="Normln"/>
    <w:rsid w:val="001266C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1266C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D003E8"/>
    <w:rPr>
      <w:rFonts w:asciiTheme="majorHAnsi" w:eastAsiaTheme="majorEastAsia" w:hAnsiTheme="majorHAnsi" w:cstheme="majorBidi"/>
      <w:color w:val="1F3763" w:themeColor="accent1" w:themeShade="7F"/>
      <w:sz w:val="24"/>
      <w:szCs w:val="24"/>
    </w:rPr>
  </w:style>
  <w:style w:type="paragraph" w:customStyle="1" w:styleId="l3">
    <w:name w:val="l3"/>
    <w:basedOn w:val="Normln"/>
    <w:rsid w:val="00D003E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D003E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D003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7329">
      <w:bodyDiv w:val="1"/>
      <w:marLeft w:val="0"/>
      <w:marRight w:val="0"/>
      <w:marTop w:val="0"/>
      <w:marBottom w:val="0"/>
      <w:divBdr>
        <w:top w:val="none" w:sz="0" w:space="0" w:color="auto"/>
        <w:left w:val="none" w:sz="0" w:space="0" w:color="auto"/>
        <w:bottom w:val="none" w:sz="0" w:space="0" w:color="auto"/>
        <w:right w:val="none" w:sz="0" w:space="0" w:color="auto"/>
      </w:divBdr>
    </w:div>
    <w:div w:id="16721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gifolio.rvp.cz/view/view.php?id=14243" TargetMode="External"/><Relationship Id="rId4" Type="http://schemas.openxmlformats.org/officeDocument/2006/relationships/hyperlink" Target="https://www.msmt.cz/vzdelavani/13-informace-ke-vzdelavani-zaku-se-specialnimi-vzdelavacim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528</Words>
  <Characters>3119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Zámečníková</dc:creator>
  <cp:keywords/>
  <dc:description/>
  <cp:lastModifiedBy>Dana Zámečníková</cp:lastModifiedBy>
  <cp:revision>2</cp:revision>
  <dcterms:created xsi:type="dcterms:W3CDTF">2021-09-30T14:44:00Z</dcterms:created>
  <dcterms:modified xsi:type="dcterms:W3CDTF">2021-09-30T18:46:00Z</dcterms:modified>
</cp:coreProperties>
</file>