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9728" w14:textId="093F4A2D" w:rsidR="0011211B" w:rsidRDefault="0011211B">
      <w:pPr>
        <w:rPr>
          <w:b/>
          <w:bCs/>
          <w:sz w:val="28"/>
          <w:szCs w:val="28"/>
        </w:rPr>
      </w:pPr>
      <w:r w:rsidRPr="0011211B">
        <w:rPr>
          <w:b/>
          <w:bCs/>
          <w:sz w:val="28"/>
          <w:szCs w:val="28"/>
        </w:rPr>
        <w:t xml:space="preserve">Z nesezdaného soužití do manželství: záleží na vzdělanostní homogamii? </w:t>
      </w:r>
    </w:p>
    <w:p w14:paraId="5C0D58EB" w14:textId="40861221" w:rsidR="0011211B" w:rsidRPr="0011211B" w:rsidRDefault="0011211B">
      <w:pPr>
        <w:rPr>
          <w:sz w:val="24"/>
          <w:szCs w:val="24"/>
        </w:rPr>
      </w:pPr>
      <w:r w:rsidRPr="0011211B">
        <w:rPr>
          <w:b/>
          <w:bCs/>
          <w:sz w:val="24"/>
          <w:szCs w:val="24"/>
        </w:rPr>
        <w:t xml:space="preserve">Časopis: </w:t>
      </w:r>
      <w:r w:rsidRPr="0011211B">
        <w:rPr>
          <w:sz w:val="24"/>
          <w:szCs w:val="24"/>
        </w:rPr>
        <w:t>Sociální studia, Vol 18, No 1 (2021)</w:t>
      </w:r>
    </w:p>
    <w:p w14:paraId="72725CB8" w14:textId="133D0C97" w:rsidR="0011211B" w:rsidRDefault="0011211B">
      <w:pPr>
        <w:rPr>
          <w:b/>
          <w:bCs/>
          <w:sz w:val="24"/>
          <w:szCs w:val="24"/>
        </w:rPr>
      </w:pPr>
      <w:r w:rsidRPr="0011211B">
        <w:rPr>
          <w:b/>
          <w:bCs/>
          <w:sz w:val="24"/>
          <w:szCs w:val="24"/>
        </w:rPr>
        <w:t xml:space="preserve">Autor: </w:t>
      </w:r>
      <w:r w:rsidRPr="0011211B">
        <w:rPr>
          <w:sz w:val="24"/>
          <w:szCs w:val="24"/>
        </w:rPr>
        <w:t>Dominika Sladká</w:t>
      </w:r>
      <w:r w:rsidRPr="0011211B">
        <w:rPr>
          <w:b/>
          <w:bCs/>
          <w:sz w:val="24"/>
          <w:szCs w:val="24"/>
        </w:rPr>
        <w:t xml:space="preserve"> </w:t>
      </w:r>
    </w:p>
    <w:p w14:paraId="2818B1AF" w14:textId="2D13608C" w:rsidR="00E21A9C" w:rsidRDefault="00E21A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Zdroj: </w:t>
      </w:r>
      <w:r w:rsidRPr="00E21A9C">
        <w:t>https://journals.muni.cz/socialni_studia/article/view/15490/12311</w:t>
      </w:r>
    </w:p>
    <w:p w14:paraId="663E9743" w14:textId="761736D1" w:rsidR="007C0734" w:rsidRPr="00CD4ED9" w:rsidRDefault="007C0734">
      <w:pPr>
        <w:rPr>
          <w:sz w:val="24"/>
          <w:szCs w:val="24"/>
        </w:rPr>
      </w:pPr>
      <w:r>
        <w:rPr>
          <w:sz w:val="24"/>
          <w:szCs w:val="24"/>
        </w:rPr>
        <w:t xml:space="preserve">Článek se věnuje problematice manželství a </w:t>
      </w:r>
      <w:r w:rsidR="00432512">
        <w:rPr>
          <w:sz w:val="24"/>
          <w:szCs w:val="24"/>
        </w:rPr>
        <w:t xml:space="preserve">jeho vzniku, neboli přechodu z nesezdaného partnerství do manželství. Výzkum se snaží zjistit, zda existují některé faktory, které ovlivňují </w:t>
      </w:r>
      <w:r w:rsidR="0033586E">
        <w:rPr>
          <w:sz w:val="24"/>
          <w:szCs w:val="24"/>
        </w:rPr>
        <w:t xml:space="preserve">tento přechod, především </w:t>
      </w:r>
      <w:r w:rsidR="00516FA7">
        <w:rPr>
          <w:sz w:val="24"/>
          <w:szCs w:val="24"/>
        </w:rPr>
        <w:t>se</w:t>
      </w:r>
      <w:r w:rsidR="0033586E">
        <w:rPr>
          <w:sz w:val="24"/>
          <w:szCs w:val="24"/>
        </w:rPr>
        <w:t xml:space="preserve"> zaměřuje na faktor vzdělanosti</w:t>
      </w:r>
      <w:r w:rsidR="00CD3415">
        <w:rPr>
          <w:sz w:val="24"/>
          <w:szCs w:val="24"/>
        </w:rPr>
        <w:t xml:space="preserve"> a rozdíly mezi jednotlivými zeměmi. </w:t>
      </w:r>
    </w:p>
    <w:p w14:paraId="74358CCA" w14:textId="0ED5317D" w:rsidR="008D3D4D" w:rsidRPr="00CD4ED9" w:rsidRDefault="008D3D4D" w:rsidP="008D3D4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D4ED9">
        <w:rPr>
          <w:b/>
          <w:bCs/>
          <w:sz w:val="24"/>
          <w:szCs w:val="24"/>
        </w:rPr>
        <w:t xml:space="preserve">Proč toto téma? </w:t>
      </w:r>
    </w:p>
    <w:p w14:paraId="0327BC5B" w14:textId="1D7823EB" w:rsidR="00C50669" w:rsidRPr="00DE5673" w:rsidRDefault="00CD4ED9" w:rsidP="00DE5673">
      <w:pPr>
        <w:rPr>
          <w:sz w:val="24"/>
          <w:szCs w:val="24"/>
        </w:rPr>
      </w:pPr>
      <w:r>
        <w:rPr>
          <w:sz w:val="24"/>
          <w:szCs w:val="24"/>
        </w:rPr>
        <w:t>-z</w:t>
      </w:r>
      <w:r w:rsidR="008D3D4D" w:rsidRPr="00CD4ED9">
        <w:rPr>
          <w:sz w:val="24"/>
          <w:szCs w:val="24"/>
        </w:rPr>
        <w:t xml:space="preserve">ajímavost tématu (článek jsem si vybrala, protože mě téma zaujalo a chtěla jsem se více dozvědět o této velmi aktuální problematice) </w:t>
      </w:r>
    </w:p>
    <w:p w14:paraId="772C8B79" w14:textId="77777777" w:rsidR="00CD4ED9" w:rsidRPr="00CD4ED9" w:rsidRDefault="00C50669" w:rsidP="00052C7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D4ED9">
        <w:rPr>
          <w:b/>
          <w:bCs/>
          <w:sz w:val="24"/>
          <w:szCs w:val="24"/>
        </w:rPr>
        <w:t xml:space="preserve">Použité teorie, </w:t>
      </w:r>
      <w:r w:rsidR="00CD4ED9" w:rsidRPr="00CD4ED9">
        <w:rPr>
          <w:b/>
          <w:bCs/>
          <w:sz w:val="24"/>
          <w:szCs w:val="24"/>
        </w:rPr>
        <w:t>koncepty</w:t>
      </w:r>
    </w:p>
    <w:p w14:paraId="7B92377E" w14:textId="66B98B94" w:rsidR="00463B3D" w:rsidRPr="00CD4ED9" w:rsidRDefault="00463B3D" w:rsidP="00CD4ED9">
      <w:pPr>
        <w:rPr>
          <w:sz w:val="24"/>
          <w:szCs w:val="24"/>
        </w:rPr>
      </w:pPr>
      <w:r w:rsidRPr="00CD4ED9">
        <w:rPr>
          <w:sz w:val="24"/>
          <w:szCs w:val="24"/>
        </w:rPr>
        <w:t xml:space="preserve">Studie se zaměřuje na faktor vzdělání, který bezesporu ovlivňuje tranzici do manželství, ale zohledňuje i jiné faktory, kterými je například pohlaví nebo postoje k manželství a nesezdanému soužití v různých zemích. </w:t>
      </w:r>
      <w:r w:rsidR="0025204D" w:rsidRPr="00CD4ED9">
        <w:rPr>
          <w:sz w:val="24"/>
          <w:szCs w:val="24"/>
        </w:rPr>
        <w:t>(V každé zemi je manželství vnímáno jinak a s tím souvisí i počet manželských svazků v dané zemi</w:t>
      </w:r>
      <w:r w:rsidR="0002443D" w:rsidRPr="00CD4ED9">
        <w:rPr>
          <w:sz w:val="24"/>
          <w:szCs w:val="24"/>
        </w:rPr>
        <w:t>.</w:t>
      </w:r>
      <w:r w:rsidR="0025204D" w:rsidRPr="00CD4ED9">
        <w:rPr>
          <w:sz w:val="24"/>
          <w:szCs w:val="24"/>
        </w:rPr>
        <w:t>)</w:t>
      </w:r>
    </w:p>
    <w:p w14:paraId="4E998374" w14:textId="616A6684" w:rsidR="00141C45" w:rsidRPr="00DE5673" w:rsidRDefault="00445675" w:rsidP="00DE5673">
      <w:pPr>
        <w:rPr>
          <w:sz w:val="24"/>
          <w:szCs w:val="24"/>
        </w:rPr>
      </w:pPr>
      <w:r>
        <w:rPr>
          <w:sz w:val="24"/>
          <w:szCs w:val="24"/>
        </w:rPr>
        <w:t>Autor při výzkumu vychází z teorie difúze -</w:t>
      </w:r>
      <w:r>
        <w:t xml:space="preserve"> </w:t>
      </w:r>
      <w:r>
        <w:rPr>
          <w:sz w:val="24"/>
          <w:szCs w:val="24"/>
        </w:rPr>
        <w:t xml:space="preserve">čím více nesezdaných soužití v zemi, tím více se podobají manželství (a čím více se podobají, tím méně jsou pro výběr mezi nimi důležité charakteristiky partnerů) </w:t>
      </w:r>
      <w:r w:rsidRPr="002F282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čím více nesezdaných soužití v zemi, tím méně je relativní pro přechod do manželství relativní vzdělání partnerů.</w:t>
      </w:r>
      <w:r>
        <w:rPr>
          <w:sz w:val="24"/>
          <w:szCs w:val="24"/>
        </w:rPr>
        <w:t xml:space="preserve"> </w:t>
      </w:r>
    </w:p>
    <w:p w14:paraId="3B6DF603" w14:textId="5DBCA274" w:rsidR="00141C45" w:rsidRPr="00CD4ED9" w:rsidRDefault="00141C45" w:rsidP="00141C4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D4ED9">
        <w:rPr>
          <w:b/>
          <w:bCs/>
          <w:sz w:val="24"/>
          <w:szCs w:val="24"/>
        </w:rPr>
        <w:t xml:space="preserve">Metodologie </w:t>
      </w:r>
    </w:p>
    <w:p w14:paraId="236FD3B4" w14:textId="71A6CB74" w:rsidR="003D49A1" w:rsidRPr="00CD4ED9" w:rsidRDefault="003D49A1" w:rsidP="00CD4ED9">
      <w:pPr>
        <w:ind w:left="360"/>
        <w:rPr>
          <w:sz w:val="24"/>
          <w:szCs w:val="24"/>
        </w:rPr>
      </w:pPr>
      <w:r w:rsidRPr="00CD4ED9">
        <w:rPr>
          <w:sz w:val="24"/>
          <w:szCs w:val="24"/>
        </w:rPr>
        <w:t xml:space="preserve">4 hypotézy: </w:t>
      </w:r>
    </w:p>
    <w:p w14:paraId="26D82085" w14:textId="6989AB2A" w:rsidR="003D49A1" w:rsidRDefault="003D49A1" w:rsidP="003D49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Homogamní nesezdaná soužití mají vyšší riziko tranzice do manželství než vzdělanostně heterogamní nesezdaná soužití</w:t>
      </w:r>
      <w:r w:rsidR="00F84CB1">
        <w:rPr>
          <w:sz w:val="24"/>
          <w:szCs w:val="24"/>
        </w:rPr>
        <w:t>.</w:t>
      </w:r>
    </w:p>
    <w:p w14:paraId="61786031" w14:textId="79AA5286" w:rsidR="00F84CB1" w:rsidRDefault="00F84CB1" w:rsidP="003D49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Vzdělanostně </w:t>
      </w:r>
      <w:proofErr w:type="spellStart"/>
      <w:r>
        <w:rPr>
          <w:sz w:val="24"/>
          <w:szCs w:val="24"/>
        </w:rPr>
        <w:t>hypergamní</w:t>
      </w:r>
      <w:proofErr w:type="spellEnd"/>
      <w:r>
        <w:rPr>
          <w:sz w:val="24"/>
          <w:szCs w:val="24"/>
        </w:rPr>
        <w:t xml:space="preserve"> nesezdaná soužití mají vyšší riziko tranzice do manželství než vzdělanostně </w:t>
      </w:r>
      <w:proofErr w:type="spellStart"/>
      <w:r>
        <w:rPr>
          <w:sz w:val="24"/>
          <w:szCs w:val="24"/>
        </w:rPr>
        <w:t>hypogamní</w:t>
      </w:r>
      <w:proofErr w:type="spellEnd"/>
      <w:r>
        <w:rPr>
          <w:sz w:val="24"/>
          <w:szCs w:val="24"/>
        </w:rPr>
        <w:t xml:space="preserve"> nesezdaná soužití </w:t>
      </w:r>
    </w:p>
    <w:p w14:paraId="162CDCC9" w14:textId="4CBA1A2F" w:rsidR="00667A84" w:rsidRDefault="00667A84" w:rsidP="003D49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Asociace mezi relativním vzděláním partnerů a rizikem tranzice do manželství je nejslabší v Rakousku. </w:t>
      </w:r>
    </w:p>
    <w:p w14:paraId="1A8B490E" w14:textId="28B12950" w:rsidR="00667A84" w:rsidRDefault="00667A84" w:rsidP="003D49A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Asociace mezi relativním vzděláním partnerů a rizikem tranzice do manželství je slabší u těch soužití, která vznikla pozděj</w:t>
      </w:r>
      <w:r w:rsidR="001672F2">
        <w:rPr>
          <w:sz w:val="24"/>
          <w:szCs w:val="24"/>
        </w:rPr>
        <w:t>i.</w:t>
      </w:r>
      <w:r w:rsidR="009E36A8">
        <w:rPr>
          <w:sz w:val="24"/>
          <w:szCs w:val="24"/>
        </w:rPr>
        <w:t xml:space="preserve"> </w:t>
      </w:r>
    </w:p>
    <w:p w14:paraId="2F8AAE7E" w14:textId="42AA5EF9" w:rsidR="00141C45" w:rsidRDefault="00141C45" w:rsidP="00CD4ED9">
      <w:pPr>
        <w:rPr>
          <w:sz w:val="24"/>
          <w:szCs w:val="24"/>
        </w:rPr>
      </w:pPr>
      <w:r>
        <w:rPr>
          <w:sz w:val="24"/>
          <w:szCs w:val="24"/>
        </w:rPr>
        <w:t xml:space="preserve">-k analýze použity partnerské historie </w:t>
      </w:r>
      <w:r w:rsidR="00334108">
        <w:rPr>
          <w:sz w:val="24"/>
          <w:szCs w:val="24"/>
        </w:rPr>
        <w:t xml:space="preserve">(z výzkumu </w:t>
      </w:r>
      <w:proofErr w:type="spellStart"/>
      <w:r w:rsidR="00334108">
        <w:rPr>
          <w:sz w:val="24"/>
          <w:szCs w:val="24"/>
        </w:rPr>
        <w:t>Generations</w:t>
      </w:r>
      <w:proofErr w:type="spellEnd"/>
      <w:r w:rsidR="00334108">
        <w:rPr>
          <w:sz w:val="24"/>
          <w:szCs w:val="24"/>
        </w:rPr>
        <w:t xml:space="preserve"> and Gender </w:t>
      </w:r>
      <w:proofErr w:type="spellStart"/>
      <w:r w:rsidR="00334108">
        <w:rPr>
          <w:sz w:val="24"/>
          <w:szCs w:val="24"/>
        </w:rPr>
        <w:t>Survey</w:t>
      </w:r>
      <w:proofErr w:type="spellEnd"/>
      <w:r w:rsidR="00334108">
        <w:rPr>
          <w:sz w:val="24"/>
          <w:szCs w:val="24"/>
        </w:rPr>
        <w:t xml:space="preserve">) </w:t>
      </w:r>
    </w:p>
    <w:p w14:paraId="1D0A46EF" w14:textId="28FFB517" w:rsidR="00F33BF1" w:rsidRDefault="00F33BF1" w:rsidP="00CD4ED9">
      <w:pPr>
        <w:rPr>
          <w:sz w:val="24"/>
          <w:szCs w:val="24"/>
        </w:rPr>
      </w:pPr>
      <w:r>
        <w:rPr>
          <w:sz w:val="24"/>
          <w:szCs w:val="24"/>
        </w:rPr>
        <w:t>-respondenti</w:t>
      </w:r>
      <w:r w:rsidR="00D77AC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18-79 let </w:t>
      </w:r>
      <w:r w:rsidR="00CF0CCD">
        <w:rPr>
          <w:sz w:val="24"/>
          <w:szCs w:val="24"/>
        </w:rPr>
        <w:t>(heterosexuální vztahy)</w:t>
      </w:r>
      <w:r w:rsidR="00295555">
        <w:rPr>
          <w:sz w:val="24"/>
          <w:szCs w:val="24"/>
        </w:rPr>
        <w:t xml:space="preserve">, 6600 respondentů </w:t>
      </w:r>
    </w:p>
    <w:p w14:paraId="479A5C21" w14:textId="21BCA437" w:rsidR="00F33BF1" w:rsidRDefault="00F33BF1" w:rsidP="00CD4ED9">
      <w:pPr>
        <w:rPr>
          <w:sz w:val="24"/>
          <w:szCs w:val="24"/>
        </w:rPr>
      </w:pPr>
      <w:r>
        <w:rPr>
          <w:sz w:val="24"/>
          <w:szCs w:val="24"/>
        </w:rPr>
        <w:t xml:space="preserve">-země: Rakousko, Polsko, Česko </w:t>
      </w:r>
    </w:p>
    <w:p w14:paraId="5CF4A97F" w14:textId="4D3F03F5" w:rsidR="00455D18" w:rsidRDefault="00455D18" w:rsidP="00CD4ED9">
      <w:pPr>
        <w:rPr>
          <w:sz w:val="24"/>
          <w:szCs w:val="24"/>
        </w:rPr>
      </w:pPr>
      <w:r>
        <w:rPr>
          <w:sz w:val="24"/>
          <w:szCs w:val="24"/>
        </w:rPr>
        <w:t xml:space="preserve">-analýza dat: </w:t>
      </w:r>
      <w:proofErr w:type="spellStart"/>
      <w:r>
        <w:rPr>
          <w:sz w:val="24"/>
          <w:szCs w:val="24"/>
        </w:rPr>
        <w:t>Coxova</w:t>
      </w:r>
      <w:proofErr w:type="spellEnd"/>
      <w:r>
        <w:rPr>
          <w:sz w:val="24"/>
          <w:szCs w:val="24"/>
        </w:rPr>
        <w:t xml:space="preserve"> regrese</w:t>
      </w:r>
      <w:r w:rsidR="00325557">
        <w:rPr>
          <w:sz w:val="24"/>
          <w:szCs w:val="24"/>
        </w:rPr>
        <w:t xml:space="preserve"> (riziko v události v čase t</w:t>
      </w:r>
      <w:r w:rsidR="00D63E0A">
        <w:rPr>
          <w:sz w:val="24"/>
          <w:szCs w:val="24"/>
        </w:rPr>
        <w:t xml:space="preserve"> -čas je diskrétní proměnná)</w:t>
      </w:r>
      <w:r w:rsidR="006428B8">
        <w:rPr>
          <w:sz w:val="24"/>
          <w:szCs w:val="24"/>
        </w:rPr>
        <w:t xml:space="preserve"> </w:t>
      </w:r>
    </w:p>
    <w:p w14:paraId="2454155F" w14:textId="38E908CE" w:rsidR="0006039F" w:rsidRDefault="0006039F" w:rsidP="00CD4ED9">
      <w:pPr>
        <w:rPr>
          <w:sz w:val="24"/>
          <w:szCs w:val="24"/>
        </w:rPr>
      </w:pPr>
      <w:r>
        <w:rPr>
          <w:sz w:val="24"/>
          <w:szCs w:val="24"/>
        </w:rPr>
        <w:t xml:space="preserve">-analyzovaná událost: tranzice do manželství </w:t>
      </w:r>
    </w:p>
    <w:p w14:paraId="5F039369" w14:textId="085A8AC3" w:rsidR="00372D36" w:rsidRPr="00CD4ED9" w:rsidRDefault="00372D36" w:rsidP="00372D3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D4ED9">
        <w:rPr>
          <w:b/>
          <w:bCs/>
          <w:sz w:val="24"/>
          <w:szCs w:val="24"/>
        </w:rPr>
        <w:lastRenderedPageBreak/>
        <w:t>Výsledky</w:t>
      </w:r>
    </w:p>
    <w:p w14:paraId="393F88B0" w14:textId="0DA126DB" w:rsidR="00DD73AB" w:rsidRDefault="00DD73AB" w:rsidP="00CD4ED9">
      <w:pPr>
        <w:rPr>
          <w:sz w:val="24"/>
          <w:szCs w:val="24"/>
        </w:rPr>
      </w:pPr>
      <w:r>
        <w:rPr>
          <w:sz w:val="24"/>
          <w:szCs w:val="24"/>
        </w:rPr>
        <w:t>Mezi heterogamními a homogamními nesezdanými páry nebyly</w:t>
      </w:r>
      <w:r w:rsidR="001C2D46">
        <w:rPr>
          <w:sz w:val="24"/>
          <w:szCs w:val="24"/>
        </w:rPr>
        <w:t xml:space="preserve"> ve všech zemích objeveny značné rozdíly a pravděpodobnost přechodu do manželství </w:t>
      </w:r>
      <w:r w:rsidR="00C956B6">
        <w:rPr>
          <w:sz w:val="24"/>
          <w:szCs w:val="24"/>
        </w:rPr>
        <w:t>(hypotéza 1 vyvrácena)</w:t>
      </w:r>
    </w:p>
    <w:p w14:paraId="42777093" w14:textId="7A5C4AB7" w:rsidR="00C956B6" w:rsidRDefault="00C956B6" w:rsidP="00CD4ED9">
      <w:pPr>
        <w:rPr>
          <w:sz w:val="24"/>
          <w:szCs w:val="24"/>
        </w:rPr>
      </w:pPr>
      <w:r>
        <w:rPr>
          <w:sz w:val="24"/>
          <w:szCs w:val="24"/>
        </w:rPr>
        <w:t xml:space="preserve">Když je vzdělanější žena, je větší pravděpodobnost vzniku manželství </w:t>
      </w:r>
      <w:r>
        <w:rPr>
          <w:sz w:val="24"/>
          <w:szCs w:val="24"/>
        </w:rPr>
        <w:t xml:space="preserve">(hypotéza 2 </w:t>
      </w:r>
      <w:r w:rsidR="00DB32FF">
        <w:rPr>
          <w:sz w:val="24"/>
          <w:szCs w:val="24"/>
        </w:rPr>
        <w:t>vyvrácena</w:t>
      </w:r>
      <w:r>
        <w:rPr>
          <w:sz w:val="24"/>
          <w:szCs w:val="24"/>
        </w:rPr>
        <w:t>)</w:t>
      </w:r>
    </w:p>
    <w:p w14:paraId="01113527" w14:textId="41AB404C" w:rsidR="00DB32FF" w:rsidRDefault="0077784E" w:rsidP="00CD4ED9">
      <w:pPr>
        <w:rPr>
          <w:sz w:val="24"/>
          <w:szCs w:val="24"/>
        </w:rPr>
      </w:pPr>
      <w:r>
        <w:rPr>
          <w:sz w:val="24"/>
          <w:szCs w:val="24"/>
        </w:rPr>
        <w:t xml:space="preserve">Asociace mezi </w:t>
      </w:r>
      <w:r w:rsidR="00A00FBF">
        <w:rPr>
          <w:sz w:val="24"/>
          <w:szCs w:val="24"/>
        </w:rPr>
        <w:t>vzděláním</w:t>
      </w:r>
      <w:r>
        <w:rPr>
          <w:sz w:val="24"/>
          <w:szCs w:val="24"/>
        </w:rPr>
        <w:t xml:space="preserve"> a</w:t>
      </w:r>
      <w:r w:rsidR="00A00FBF">
        <w:rPr>
          <w:sz w:val="24"/>
          <w:szCs w:val="24"/>
        </w:rPr>
        <w:t xml:space="preserve"> rizikem tranzice do</w:t>
      </w:r>
      <w:r>
        <w:rPr>
          <w:sz w:val="24"/>
          <w:szCs w:val="24"/>
        </w:rPr>
        <w:t xml:space="preserve"> manželství</w:t>
      </w:r>
      <w:r w:rsidR="00A00FBF">
        <w:rPr>
          <w:sz w:val="24"/>
          <w:szCs w:val="24"/>
        </w:rPr>
        <w:t xml:space="preserve"> b</w:t>
      </w:r>
      <w:r>
        <w:rPr>
          <w:sz w:val="24"/>
          <w:szCs w:val="24"/>
        </w:rPr>
        <w:t>yla nejslabší v Rakousku, protože zde nesezdané soužití a manželství k sobě mají nejblíže (nejsou až tak velké rozdíly mezi těmito dvěma svazky). (hypotéza 3 potvrzena)</w:t>
      </w:r>
    </w:p>
    <w:p w14:paraId="13266182" w14:textId="61CE7A26" w:rsidR="00C956B6" w:rsidRDefault="0077784E" w:rsidP="00CD4ED9">
      <w:pPr>
        <w:rPr>
          <w:sz w:val="24"/>
          <w:szCs w:val="24"/>
        </w:rPr>
      </w:pPr>
      <w:r>
        <w:rPr>
          <w:sz w:val="24"/>
          <w:szCs w:val="24"/>
        </w:rPr>
        <w:t>Asociace mezi vzděláním a rizikem tranzice do manželství nezávisela na tom, kdy vzniklo nesezdané soužití. (hypotéza 4 vyvrácena)</w:t>
      </w:r>
    </w:p>
    <w:p w14:paraId="560E6C6E" w14:textId="3FC1F980" w:rsidR="002A225B" w:rsidRDefault="00C11002" w:rsidP="003652E4">
      <w:pPr>
        <w:ind w:left="360"/>
        <w:rPr>
          <w:sz w:val="24"/>
          <w:szCs w:val="24"/>
        </w:rPr>
      </w:pPr>
      <w:r w:rsidRPr="00C1100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Největší riziko vzniku manželství je u nesezdaných párů, ve kterých má žena vyšší vzdělání. </w:t>
      </w:r>
      <w:r w:rsidR="00FA3DE1">
        <w:rPr>
          <w:sz w:val="24"/>
          <w:szCs w:val="24"/>
        </w:rPr>
        <w:t xml:space="preserve">Autor označil výsledek této studie jako překvapující, avšak mně to až tak nepřekvapilo. </w:t>
      </w:r>
      <w:r w:rsidR="00732DFF">
        <w:rPr>
          <w:sz w:val="24"/>
          <w:szCs w:val="24"/>
        </w:rPr>
        <w:t xml:space="preserve">Přijde mi logické, že žena, která má vyšší vzdělání může mít i vyšší moc nad partnerem a díky tomu si může spíše prosadit vstup do manželství. </w:t>
      </w:r>
      <w:r w:rsidR="00B256BC">
        <w:rPr>
          <w:sz w:val="24"/>
          <w:szCs w:val="24"/>
        </w:rPr>
        <w:t xml:space="preserve">Z vlastní zkušenosti vím, že uzavřít manželství chce většinou spíše žena než muž, a proto se domnívám, že vyšší vzdělání může napomoci ženě k prosazení jejich požadavků. </w:t>
      </w:r>
    </w:p>
    <w:p w14:paraId="6F2BC77A" w14:textId="53459D19" w:rsidR="004E2875" w:rsidRPr="00CD4ED9" w:rsidRDefault="004E2875" w:rsidP="004E287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D4ED9">
        <w:rPr>
          <w:b/>
          <w:bCs/>
          <w:sz w:val="24"/>
          <w:szCs w:val="24"/>
        </w:rPr>
        <w:t xml:space="preserve">Inspirace pro vlastní tvorbu </w:t>
      </w:r>
    </w:p>
    <w:p w14:paraId="30A8BD0C" w14:textId="3C5CDFC0" w:rsidR="003B040F" w:rsidRPr="003B040F" w:rsidRDefault="003B040F" w:rsidP="00CD4ED9">
      <w:pPr>
        <w:rPr>
          <w:sz w:val="24"/>
          <w:szCs w:val="24"/>
        </w:rPr>
      </w:pPr>
      <w:r>
        <w:rPr>
          <w:sz w:val="24"/>
          <w:szCs w:val="24"/>
        </w:rPr>
        <w:t xml:space="preserve">Bohužel ještě nevím přesně, jaké téma DP bych chtěla zvolit, proto nedokážu určit, zda by mi tento článek byl užitečný. </w:t>
      </w:r>
      <w:r w:rsidR="00437193">
        <w:rPr>
          <w:sz w:val="24"/>
          <w:szCs w:val="24"/>
        </w:rPr>
        <w:t xml:space="preserve">Kdybych se ale rozhodla nějakým způsobem dále pracovat se svojí BP, tak věřím, že by mi článek určitě pomohl, neboť i téma mé BP byl zaměřen na rodinu (avšak v odlišném kontextu). </w:t>
      </w:r>
    </w:p>
    <w:p w14:paraId="4E57664B" w14:textId="595B0DB5" w:rsidR="004E2875" w:rsidRPr="00CD4ED9" w:rsidRDefault="004E2875" w:rsidP="00CD4ED9">
      <w:pPr>
        <w:rPr>
          <w:sz w:val="24"/>
          <w:szCs w:val="24"/>
        </w:rPr>
      </w:pPr>
    </w:p>
    <w:sectPr w:rsidR="004E2875" w:rsidRPr="00CD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086"/>
    <w:multiLevelType w:val="hybridMultilevel"/>
    <w:tmpl w:val="78640CC4"/>
    <w:lvl w:ilvl="0" w:tplc="041E6C60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0369A"/>
    <w:multiLevelType w:val="hybridMultilevel"/>
    <w:tmpl w:val="FC3ADC5C"/>
    <w:lvl w:ilvl="0" w:tplc="041E6C6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3C6"/>
    <w:multiLevelType w:val="hybridMultilevel"/>
    <w:tmpl w:val="56240FF8"/>
    <w:lvl w:ilvl="0" w:tplc="041E6C6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428"/>
    <w:multiLevelType w:val="hybridMultilevel"/>
    <w:tmpl w:val="32E614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B07416"/>
    <w:multiLevelType w:val="hybridMultilevel"/>
    <w:tmpl w:val="FB1E5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93AD9"/>
    <w:multiLevelType w:val="hybridMultilevel"/>
    <w:tmpl w:val="E814C93E"/>
    <w:lvl w:ilvl="0" w:tplc="A8AAF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BB"/>
    <w:rsid w:val="0002443D"/>
    <w:rsid w:val="0006039F"/>
    <w:rsid w:val="000D563B"/>
    <w:rsid w:val="0011211B"/>
    <w:rsid w:val="00141C45"/>
    <w:rsid w:val="00154147"/>
    <w:rsid w:val="001672F2"/>
    <w:rsid w:val="001704B1"/>
    <w:rsid w:val="001C2D46"/>
    <w:rsid w:val="00226CB0"/>
    <w:rsid w:val="0025204D"/>
    <w:rsid w:val="002567FD"/>
    <w:rsid w:val="00295555"/>
    <w:rsid w:val="002A225B"/>
    <w:rsid w:val="002F2829"/>
    <w:rsid w:val="00325557"/>
    <w:rsid w:val="00334108"/>
    <w:rsid w:val="0033586E"/>
    <w:rsid w:val="003652E4"/>
    <w:rsid w:val="00372D36"/>
    <w:rsid w:val="003B040F"/>
    <w:rsid w:val="003B6AE2"/>
    <w:rsid w:val="003D49A1"/>
    <w:rsid w:val="00432512"/>
    <w:rsid w:val="00437193"/>
    <w:rsid w:val="00444F57"/>
    <w:rsid w:val="00445675"/>
    <w:rsid w:val="00455D18"/>
    <w:rsid w:val="00463B3D"/>
    <w:rsid w:val="004E2875"/>
    <w:rsid w:val="00516FA7"/>
    <w:rsid w:val="0057009D"/>
    <w:rsid w:val="005A73A4"/>
    <w:rsid w:val="006428B8"/>
    <w:rsid w:val="00667A84"/>
    <w:rsid w:val="006E5FBB"/>
    <w:rsid w:val="00732DFF"/>
    <w:rsid w:val="0077784E"/>
    <w:rsid w:val="0079568E"/>
    <w:rsid w:val="007C0734"/>
    <w:rsid w:val="007E5CD6"/>
    <w:rsid w:val="008D3D4D"/>
    <w:rsid w:val="00952A18"/>
    <w:rsid w:val="009A2E78"/>
    <w:rsid w:val="009E36A8"/>
    <w:rsid w:val="00A00FBF"/>
    <w:rsid w:val="00A06543"/>
    <w:rsid w:val="00AC569F"/>
    <w:rsid w:val="00B07FFE"/>
    <w:rsid w:val="00B170B5"/>
    <w:rsid w:val="00B256BC"/>
    <w:rsid w:val="00B92001"/>
    <w:rsid w:val="00BC2E7F"/>
    <w:rsid w:val="00C11002"/>
    <w:rsid w:val="00C50669"/>
    <w:rsid w:val="00C87A05"/>
    <w:rsid w:val="00C956B6"/>
    <w:rsid w:val="00CD3415"/>
    <w:rsid w:val="00CD4ED9"/>
    <w:rsid w:val="00CF0CCD"/>
    <w:rsid w:val="00D63E0A"/>
    <w:rsid w:val="00D77AC2"/>
    <w:rsid w:val="00D87025"/>
    <w:rsid w:val="00DB32FF"/>
    <w:rsid w:val="00DD73AB"/>
    <w:rsid w:val="00DE5673"/>
    <w:rsid w:val="00E21A9C"/>
    <w:rsid w:val="00E4150D"/>
    <w:rsid w:val="00F33BF1"/>
    <w:rsid w:val="00F84CB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A1D8"/>
  <w15:chartTrackingRefBased/>
  <w15:docId w15:val="{E23C6EC8-8CC1-4F57-B517-1B3B460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5FB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73A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D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Zimová Eliška</dc:creator>
  <cp:keywords/>
  <dc:description/>
  <cp:lastModifiedBy>Eliška Zimová</cp:lastModifiedBy>
  <cp:revision>61</cp:revision>
  <dcterms:created xsi:type="dcterms:W3CDTF">2021-11-22T20:04:00Z</dcterms:created>
  <dcterms:modified xsi:type="dcterms:W3CDTF">2021-11-26T12:52:00Z</dcterms:modified>
</cp:coreProperties>
</file>