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Zuzana Doležalová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BP sice můžete využít jako zdroj, ale ne jako jediný zdroj.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Navíc jste se v práci měli zaměřit na teorii o vybraném SVP. Vy jste pouze popsala kazuistiku 1 žáka. Nicméně oceňuji, že jste si vybrala vlastní kazuistiku a zamýšlela se nad ní do podrobna.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Navíc je teoretická část práce identická jako práce vašich kolegyní. Práci jste ovšem měli zpracovávat samostaně.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Viz. předchozí bod.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Chybí seznam zdrojů.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Obrázky číslujte a pojmenovávejte.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Seminární práce splňuje minimální podmínky přijetí.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p0kR3xMzcXhTBGvy0ZXlYBusA==">AMUW2mXv9dQLNaP8g0jcmMoCrtjPFoXDZPOGYcr3vS8JHnLQJq6x+Atw24mWo6nBNPK5TERSqzFKJULRYOmJmJmuHodVtkehZ5hkB4/iu8ctSmY4KsCj0R4=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