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Tadeáš Strnad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880"/>
        <w:gridCol w:w="3005"/>
        <w:tblGridChange w:id="0">
          <w:tblGrid>
            <w:gridCol w:w="3120"/>
            <w:gridCol w:w="2880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Přestože uvádíte 1 odborný zdroj. V textu se na něj odkazujete pouze 1 větou.</w:t>
            </w:r>
          </w:p>
          <w:p w:rsidR="00000000" w:rsidDel="00000000" w:rsidP="00000000" w:rsidRDefault="00000000" w:rsidRPr="00000000" w14:paraId="00000021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Pomůcku i kazuistiku jste popsal důkladně a přehledně, ale chybí teoretický úvod o vybrané problematice SVP.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Viz. předchozí bod.</w:t>
            </w:r>
          </w:p>
          <w:p w:rsidR="00000000" w:rsidDel="00000000" w:rsidP="00000000" w:rsidRDefault="00000000" w:rsidRPr="00000000" w14:paraId="00000025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Obrázky/tabulky číslujte a pojmenovávejte.</w:t>
            </w:r>
          </w:p>
          <w:p w:rsidR="00000000" w:rsidDel="00000000" w:rsidP="00000000" w:rsidRDefault="00000000" w:rsidRPr="00000000" w14:paraId="00000029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Prosím o doplnění teoretického úvodu na základě odborné literatury.</w:t>
            </w:r>
          </w:p>
          <w:p w:rsidR="00000000" w:rsidDel="00000000" w:rsidP="00000000" w:rsidRDefault="00000000" w:rsidRPr="00000000" w14:paraId="0000002D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Práci mi následně zašlete e-mailem asap, ideálně do konce roku, ať vám můžu dát zápočet během zkouškového.</w:t>
            </w:r>
          </w:p>
        </w:tc>
      </w:tr>
    </w:tbl>
    <w:p w:rsidR="00000000" w:rsidDel="00000000" w:rsidP="00000000" w:rsidRDefault="00000000" w:rsidRPr="00000000" w14:paraId="0000002E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8fX9BXH3KL+P8lZwbWy25GcjJQ==">AMUW2mUjqFMVLeBKy1ItamoE+pIJMr9Ki+w/MVOlwt4uZqbVczUvbwA859CbKd7K+EFiNnR4gbeHuAsVsa66QG1uJy7kOcfhFJ4CdrkQ/3SKS8Ru5Kf/k8A=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