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-385442</wp:posOffset>
            </wp:positionH>
            <wp:positionV relativeFrom="paragraph">
              <wp:posOffset>-532128</wp:posOffset>
            </wp:positionV>
            <wp:extent cx="942975" cy="69532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494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and SPEAKING: “MEDICATION ...THE RIGHT SOLUTION TO ADHD?”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the cards below. Each of them describes a potential effect of ADHD medication.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the cards into two categories: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Cards that GIVE REASONS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taking medication (F).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Cards that GIVE REASONS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AGAINST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taking medication 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VOCABULARY: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drugs</w:t>
        <w:tab/>
        <w:t xml:space="preserve">    </w:t>
        <w:tab/>
        <w:tab/>
        <w:tab/>
        <w:tab/>
        <w:t xml:space="preserve">to fidget</w:t>
        <w:tab/>
        <w:tab/>
        <w:tab/>
        <w:tab/>
        <w:t xml:space="preserve"> **to stifle </w:t>
      </w: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notice   </w:t>
        <w:tab/>
        <w:tab/>
        <w:tab/>
        <w:tab/>
        <w:t xml:space="preserve"> self-confidence  </w:t>
        <w:tab/>
        <w:tab/>
        <w:tab/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appetite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self-esteem </w:t>
        <w:tab/>
        <w:t xml:space="preserve">          </w:t>
        <w:tab/>
        <w:tab/>
        <w:tab/>
        <w:t xml:space="preserve"> side-effects</w:t>
        <w:tab/>
        <w:t xml:space="preserve">       </w:t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moodiness</w:t>
        <w:tab/>
        <w:t xml:space="preserve">    </w:t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*to fidget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18"/>
          <w:szCs w:val="18"/>
          <w:u w:val="none"/>
          <w:shd w:fill="auto" w:val="clear"/>
          <w:vertAlign w:val="baseline"/>
          <w:rtl w:val="0"/>
        </w:rPr>
        <w:t xml:space="preserve">/ˈfɪdʒ.ɪt/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 to make continuous, small movements that annoy other people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360" w:top="1258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 to stifle /ˈstaɪ.fəl/ = to prevent something from happening, being expressed, or continuing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ccc0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Many people with ADHD who take medication find it easier to finish schoolwork and homework.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Medication cannot cure ADHD; the best it can do is to manage the symptoms until the person stops taking the drugs.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There are other ways of helping people with ADHD, including social skills training and parent education.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ddd9c3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Some people with ADHD who take medication find that their relationships with friends and family improve.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ccff66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Medication can help people with ADHD to fidget less.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ffff66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Some medication for ADHD can stifle creativity.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ff66cc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Medication often helps people with ADHD to control their emotions.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Some people who take medication notice improved self-confidence and self-esteem.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66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Medication for ADHD can have many side-effects, including headaches, moodiness and a decrease in appetite. Some users stop growing.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2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One study found that one brand of ADHD medication can cause cancer in some animals.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360" w:top="1258" w:left="1417" w:right="1417" w:header="708" w:footer="708"/>
          <w:cols w:equalWidth="0" w:num="2">
            <w:col w:space="709" w:w="4181.499999999999"/>
            <w:col w:space="0" w:w="4181.4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choose two best reasons for taking medication and two best reasons against taking it and justify your choice.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Talk to the person sitting next to you about your choices and explain your reasoning.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 right, ethically, to give medication to young children with ADHD? Why?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Adapted from Behavioural disorders, a material for JVp018, </w:t>
    </w:r>
    <w:r w:rsidDel="00000000" w:rsidR="00000000" w:rsidRPr="00000000">
      <w:rPr>
        <w:sz w:val="18"/>
        <w:szCs w:val="18"/>
        <w:rtl w:val="0"/>
      </w:rPr>
      <w:t xml:space="preserve">written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by Mgr. Gabrial Hublová, PhD.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adpis1"/>
    <w:autoRedefine w:val="0"/>
    <w:hidden w:val="0"/>
    <w:qFormat w:val="0"/>
    <w:pPr>
      <w:suppressAutoHyphens w:val="1"/>
      <w:spacing w:after="120" w:line="312" w:lineRule="atLeast"/>
      <w:ind w:leftChars="-1" w:rightChars="0" w:firstLineChars="-1"/>
      <w:textDirection w:val="btLr"/>
      <w:textAlignment w:val="top"/>
      <w:outlineLvl w:val="0"/>
    </w:pPr>
    <w:rPr>
      <w:rFonts w:ascii="Helvetica" w:cs="Helvetica" w:eastAsia="Times New Roman" w:hAnsi="Helvetica"/>
      <w:color w:val="1465b7"/>
      <w:spacing w:val="-12"/>
      <w:w w:val="100"/>
      <w:kern w:val="36"/>
      <w:position w:val="-1"/>
      <w:sz w:val="43"/>
      <w:szCs w:val="43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Nadpis1Char">
    <w:name w:val="Nadpis 1 Char"/>
    <w:next w:val="Nadpis1Char"/>
    <w:autoRedefine w:val="0"/>
    <w:hidden w:val="0"/>
    <w:qFormat w:val="0"/>
    <w:rPr>
      <w:rFonts w:ascii="Helvetica" w:cs="Helvetica" w:eastAsia="Times New Roman" w:hAnsi="Helvetica"/>
      <w:color w:val="1465b7"/>
      <w:spacing w:val="-12"/>
      <w:w w:val="100"/>
      <w:kern w:val="36"/>
      <w:position w:val="-1"/>
      <w:sz w:val="43"/>
      <w:szCs w:val="43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360" w:line="360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Mřížkatabulky1">
    <w:name w:val="Mřížka tabulky1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řížkatabulky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27Jctd97t0/1FZjCwSZg6aeUog==">AMUW2mX6dT25O6QeAXXQDW5OlJuiTXkhl4k4QjDKdGzlhLNlWV+QhmNEn+HStxjFp04e2mqTVxrTmNGNYCfKPLE0V7AB32YS972c0/i6BpRMv6a9CHGskyM=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2020-09-03T18:53:00Z</dcterms:created>
  <dc:creator>Martin Durna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