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1EA" w14:textId="5FA1DA30" w:rsidR="001F2E76" w:rsidRPr="00BA59B7" w:rsidRDefault="001F2E76" w:rsidP="001F2E76">
      <w:pPr>
        <w:pStyle w:val="Nadpis2"/>
        <w:spacing w:before="0"/>
        <w:jc w:val="center"/>
        <w:rPr>
          <w:rFonts w:cstheme="majorHAnsi"/>
          <w:b/>
          <w:color w:val="0000DC"/>
          <w:sz w:val="32"/>
          <w:szCs w:val="32"/>
          <w:lang w:eastAsia="ar-SA"/>
        </w:rPr>
      </w:pPr>
      <w:r w:rsidRPr="00BA59B7">
        <w:rPr>
          <w:rFonts w:cstheme="majorHAnsi"/>
          <w:b/>
          <w:color w:val="0000DC"/>
          <w:sz w:val="32"/>
          <w:szCs w:val="32"/>
          <w:lang w:eastAsia="ar-SA"/>
        </w:rPr>
        <w:t xml:space="preserve">Příprava na </w:t>
      </w:r>
      <w:r w:rsidR="00E8506D" w:rsidRPr="00BA59B7">
        <w:rPr>
          <w:rFonts w:cstheme="majorHAnsi"/>
          <w:b/>
          <w:color w:val="0000DC"/>
          <w:sz w:val="32"/>
          <w:szCs w:val="32"/>
          <w:lang w:eastAsia="ar-SA"/>
        </w:rPr>
        <w:t>4</w:t>
      </w:r>
      <w:r w:rsidRPr="00BA59B7">
        <w:rPr>
          <w:rFonts w:cstheme="majorHAnsi"/>
          <w:b/>
          <w:color w:val="0000DC"/>
          <w:sz w:val="32"/>
          <w:szCs w:val="32"/>
          <w:lang w:eastAsia="ar-SA"/>
        </w:rPr>
        <w:t>. seminář</w:t>
      </w:r>
    </w:p>
    <w:p w14:paraId="4A01FC84" w14:textId="04CB3BE6" w:rsidR="001F2E76" w:rsidRPr="00BA59B7" w:rsidRDefault="005F13E5" w:rsidP="00E8506D">
      <w:pPr>
        <w:pStyle w:val="Nadpis2"/>
        <w:spacing w:before="0"/>
        <w:jc w:val="center"/>
        <w:rPr>
          <w:rFonts w:cstheme="majorHAnsi"/>
          <w:b/>
          <w:color w:val="0000DC"/>
          <w:sz w:val="32"/>
          <w:szCs w:val="32"/>
          <w:lang w:eastAsia="ar-SA"/>
        </w:rPr>
      </w:pPr>
      <w:r w:rsidRPr="00BA59B7">
        <w:rPr>
          <w:rFonts w:cstheme="majorHAnsi"/>
          <w:b/>
          <w:color w:val="0000DC"/>
          <w:sz w:val="32"/>
          <w:szCs w:val="32"/>
          <w:lang w:eastAsia="ar-SA"/>
        </w:rPr>
        <w:t>OVp022 Evropská integrace a desintegrace</w:t>
      </w:r>
    </w:p>
    <w:p w14:paraId="77E7640F" w14:textId="3A5A2B0B" w:rsidR="004E5FAF" w:rsidRPr="00BA59B7" w:rsidRDefault="00E8506D" w:rsidP="00DC5F76">
      <w:pPr>
        <w:jc w:val="center"/>
        <w:rPr>
          <w:rFonts w:asciiTheme="majorHAnsi" w:eastAsiaTheme="majorEastAsia" w:hAnsiTheme="majorHAnsi" w:cstheme="majorHAnsi"/>
          <w:b/>
          <w:color w:val="0000DC"/>
          <w:sz w:val="32"/>
          <w:szCs w:val="32"/>
          <w:lang w:eastAsia="ar-SA"/>
        </w:rPr>
      </w:pPr>
      <w:r w:rsidRPr="00BA59B7">
        <w:rPr>
          <w:rFonts w:asciiTheme="majorHAnsi" w:hAnsiTheme="majorHAnsi" w:cstheme="majorHAnsi"/>
          <w:b/>
          <w:color w:val="0000DC"/>
          <w:sz w:val="32"/>
          <w:szCs w:val="32"/>
          <w:lang w:eastAsia="ar-SA"/>
        </w:rPr>
        <w:t>Občanství EU. Schengenský prostor. Volný pohyb osob</w:t>
      </w:r>
      <w:r w:rsidRPr="00BA59B7">
        <w:rPr>
          <w:rFonts w:asciiTheme="majorHAnsi" w:eastAsiaTheme="majorEastAsia" w:hAnsiTheme="majorHAnsi" w:cstheme="majorHAnsi"/>
          <w:b/>
          <w:color w:val="0000DC"/>
          <w:sz w:val="32"/>
          <w:szCs w:val="32"/>
          <w:lang w:eastAsia="ar-SA"/>
        </w:rPr>
        <w:t>.</w:t>
      </w:r>
    </w:p>
    <w:p w14:paraId="61320746" w14:textId="69AEF484" w:rsidR="00EF61B7" w:rsidRPr="00BA59B7" w:rsidRDefault="00E8506D" w:rsidP="00E8506D">
      <w:pPr>
        <w:spacing w:before="240"/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  <w:t>Občanství EU</w:t>
      </w:r>
    </w:p>
    <w:p w14:paraId="295D4CC2" w14:textId="37DDB3B7" w:rsidR="00E8506D" w:rsidRPr="00E8506D" w:rsidRDefault="00E8506D" w:rsidP="00BA59B7">
      <w:p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E8506D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Výchozí text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je zněním článku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20 Smlouvy o fungování Evropské unie, který upravuje občanství Evropské unie. Pod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ním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najdete otázky, které byste měli být schopni odpovědět na základě textu.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EF61B7" w14:paraId="660F5B23" w14:textId="77777777" w:rsidTr="00E8506D">
        <w:trPr>
          <w:trHeight w:val="721"/>
        </w:trPr>
        <w:tc>
          <w:tcPr>
            <w:tcW w:w="9174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DAEEF3" w:themeFill="accent5" w:themeFillTint="33"/>
          </w:tcPr>
          <w:p w14:paraId="56246D10" w14:textId="77777777" w:rsidR="00E8506D" w:rsidRPr="00BA59B7" w:rsidRDefault="00E8506D" w:rsidP="00BA59B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</w:t>
            </w: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. Zavádí se občanství Unie. Každá osoba, která má státní příslušnost členského státu, je občanem Unie. Občanství Unie doplňuje občanství členského státu, nenahrazuje je. </w:t>
            </w:r>
          </w:p>
          <w:p w14:paraId="0F443783" w14:textId="77777777" w:rsidR="00E8506D" w:rsidRPr="00BA59B7" w:rsidRDefault="00E8506D" w:rsidP="00BA59B7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2. Občané Unie mají práva a povinnosti stanovené Smlouvami. Mají mimo jiné: </w:t>
            </w:r>
          </w:p>
          <w:p w14:paraId="26AD15CB" w14:textId="4158DD74" w:rsidR="00E8506D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právo svobodně se pohybovat a pobývat na území členských států; </w:t>
            </w:r>
          </w:p>
          <w:p w14:paraId="378B59A6" w14:textId="0263D280" w:rsidR="00EF61B7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>právo volit a být volen ve volbách do Evropského parlamentu a v obecních volbách v členském státě, v němž mají bydliště, za stejných podmínek jako státní příslušníci tohoto státu;</w:t>
            </w:r>
          </w:p>
          <w:p w14:paraId="02B5794B" w14:textId="562658DB" w:rsidR="00E8506D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na území třetí země, kde členský stát, jehož jsou státními příslušníky, nemá své zastoupení, právo na diplomatickou a konzulární ochranu kterýmkoli členským státem za stejných podmínek jako státní příslušníci tohoto státu; </w:t>
            </w:r>
          </w:p>
          <w:p w14:paraId="14CC938A" w14:textId="6019B476" w:rsidR="00E8506D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petiční právo k Evropskému parlamentu, právo obracet se na evropského veřejného ochránce práv a právo obracet se na orgány a poradní instituce Unie v jednom z jazyků Smluv a obdržet odpověď ve stejném jazyce. </w:t>
            </w:r>
          </w:p>
          <w:p w14:paraId="0E9ADCA5" w14:textId="3EFB3B2C" w:rsidR="00E8506D" w:rsidRPr="00E8506D" w:rsidRDefault="00E8506D" w:rsidP="00BA59B7">
            <w:pPr>
              <w:jc w:val="both"/>
              <w:rPr>
                <w:rFonts w:asciiTheme="majorHAnsi" w:eastAsiaTheme="majorEastAsia" w:hAnsiTheme="majorHAnsi" w:cstheme="majorBidi"/>
                <w:bCs/>
                <w:color w:val="0000DC"/>
                <w:sz w:val="24"/>
                <w:szCs w:val="24"/>
                <w:lang w:eastAsia="ar-SA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>Tato práva se vykonávají za podmínek a v mezích stanovených Smlouvami a opatřeními přijatými na jejich základě.</w:t>
            </w:r>
          </w:p>
        </w:tc>
      </w:tr>
    </w:tbl>
    <w:p w14:paraId="1360155C" w14:textId="77777777" w:rsidR="00E8506D" w:rsidRPr="00BA59B7" w:rsidRDefault="00E8506D" w:rsidP="00BA59B7">
      <w:pPr>
        <w:spacing w:after="0"/>
        <w:jc w:val="both"/>
        <w:rPr>
          <w:rFonts w:asciiTheme="majorHAnsi" w:eastAsiaTheme="majorEastAsia" w:hAnsiTheme="majorHAnsi" w:cstheme="majorHAnsi"/>
          <w:bCs/>
          <w:sz w:val="22"/>
          <w:lang w:eastAsia="ar-SA"/>
        </w:rPr>
      </w:pPr>
    </w:p>
    <w:p w14:paraId="087704AF" w14:textId="2C531301" w:rsidR="00E8506D" w:rsidRPr="00BA59B7" w:rsidRDefault="00E8506D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HAns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Máte Vy občanství EU? Jak jste jej získali?</w:t>
      </w:r>
    </w:p>
    <w:p w14:paraId="5F308E45" w14:textId="637506EC" w:rsidR="00E8506D" w:rsidRPr="00BA59B7" w:rsidRDefault="00E8506D" w:rsidP="00BA59B7">
      <w:pPr>
        <w:pStyle w:val="Odstavecseseznamem"/>
        <w:numPr>
          <w:ilvl w:val="0"/>
          <w:numId w:val="3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A59B7">
        <w:rPr>
          <w:rFonts w:asciiTheme="majorHAnsi" w:hAnsiTheme="majorHAnsi" w:cstheme="majorHAnsi"/>
          <w:sz w:val="22"/>
          <w:szCs w:val="24"/>
        </w:rPr>
        <w:t xml:space="preserve">Představte si situaci, že </w:t>
      </w:r>
      <w:r w:rsidR="001653EB" w:rsidRPr="00BA59B7">
        <w:rPr>
          <w:rFonts w:asciiTheme="majorHAnsi" w:hAnsiTheme="majorHAnsi" w:cstheme="majorHAnsi"/>
          <w:sz w:val="22"/>
          <w:szCs w:val="24"/>
        </w:rPr>
        <w:t>jste občan ČR</w:t>
      </w:r>
      <w:r w:rsidR="00DC5F76" w:rsidRPr="00BA59B7">
        <w:rPr>
          <w:rFonts w:asciiTheme="majorHAnsi" w:hAnsiTheme="majorHAnsi" w:cstheme="majorHAnsi"/>
          <w:sz w:val="22"/>
          <w:szCs w:val="24"/>
        </w:rPr>
        <w:t xml:space="preserve"> s trvalým bydlištěm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 v Brně. P</w:t>
      </w:r>
      <w:r w:rsidRPr="00BA59B7">
        <w:rPr>
          <w:rFonts w:asciiTheme="majorHAnsi" w:hAnsiTheme="majorHAnsi" w:cstheme="majorHAnsi"/>
          <w:sz w:val="22"/>
          <w:szCs w:val="24"/>
        </w:rPr>
        <w:t xml:space="preserve">řestěhujete 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se </w:t>
      </w:r>
      <w:r w:rsidRPr="00BA59B7">
        <w:rPr>
          <w:rFonts w:asciiTheme="majorHAnsi" w:hAnsiTheme="majorHAnsi" w:cstheme="majorHAnsi"/>
          <w:sz w:val="22"/>
          <w:szCs w:val="24"/>
        </w:rPr>
        <w:t>do Francie a pobývá</w:t>
      </w:r>
      <w:r w:rsidR="001653EB" w:rsidRPr="00BA59B7">
        <w:rPr>
          <w:rFonts w:asciiTheme="majorHAnsi" w:hAnsiTheme="majorHAnsi" w:cstheme="majorHAnsi"/>
          <w:sz w:val="22"/>
          <w:szCs w:val="24"/>
        </w:rPr>
        <w:t>te</w:t>
      </w:r>
      <w:r w:rsidRPr="00BA59B7">
        <w:rPr>
          <w:rFonts w:asciiTheme="majorHAnsi" w:hAnsiTheme="majorHAnsi" w:cstheme="majorHAnsi"/>
          <w:sz w:val="22"/>
          <w:szCs w:val="24"/>
        </w:rPr>
        <w:t xml:space="preserve"> již třetím rokem ve francouzském městě Lyon. Ve městě Lyon má ČR honorární konzulát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. Mohli byste </w:t>
      </w:r>
      <w:r w:rsidRPr="00BA59B7">
        <w:rPr>
          <w:rFonts w:asciiTheme="majorHAnsi" w:hAnsiTheme="majorHAnsi" w:cstheme="majorHAnsi"/>
          <w:sz w:val="22"/>
          <w:szCs w:val="24"/>
        </w:rPr>
        <w:t>volit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 na území Francie</w:t>
      </w:r>
      <w:r w:rsidRPr="00BA59B7">
        <w:rPr>
          <w:rFonts w:asciiTheme="majorHAnsi" w:hAnsiTheme="majorHAnsi" w:cstheme="majorHAnsi"/>
          <w:sz w:val="22"/>
          <w:szCs w:val="24"/>
        </w:rPr>
        <w:t xml:space="preserve"> do komunálních voleb města Brna, pokud dodrží</w:t>
      </w:r>
      <w:r w:rsidR="001653EB" w:rsidRPr="00BA59B7">
        <w:rPr>
          <w:rFonts w:asciiTheme="majorHAnsi" w:hAnsiTheme="majorHAnsi" w:cstheme="majorHAnsi"/>
          <w:sz w:val="22"/>
          <w:szCs w:val="24"/>
        </w:rPr>
        <w:t>te</w:t>
      </w:r>
      <w:r w:rsidRPr="00BA59B7">
        <w:rPr>
          <w:rFonts w:asciiTheme="majorHAnsi" w:hAnsiTheme="majorHAnsi" w:cstheme="majorHAnsi"/>
          <w:sz w:val="22"/>
          <w:szCs w:val="24"/>
        </w:rPr>
        <w:t xml:space="preserve"> lhůtu k oznámení, že má</w:t>
      </w:r>
      <w:r w:rsidR="001653EB" w:rsidRPr="00BA59B7">
        <w:rPr>
          <w:rFonts w:asciiTheme="majorHAnsi" w:hAnsiTheme="majorHAnsi" w:cstheme="majorHAnsi"/>
          <w:sz w:val="22"/>
          <w:szCs w:val="24"/>
        </w:rPr>
        <w:t>te</w:t>
      </w:r>
      <w:r w:rsidRPr="00BA59B7">
        <w:rPr>
          <w:rFonts w:asciiTheme="majorHAnsi" w:hAnsiTheme="majorHAnsi" w:cstheme="majorHAnsi"/>
          <w:sz w:val="22"/>
          <w:szCs w:val="24"/>
        </w:rPr>
        <w:t xml:space="preserve"> zájem volit v</w:t>
      </w:r>
      <w:r w:rsidR="001653EB" w:rsidRPr="00BA59B7">
        <w:rPr>
          <w:rFonts w:asciiTheme="majorHAnsi" w:hAnsiTheme="majorHAnsi" w:cstheme="majorHAnsi"/>
          <w:sz w:val="22"/>
          <w:szCs w:val="24"/>
        </w:rPr>
        <w:t> </w:t>
      </w:r>
      <w:r w:rsidRPr="00BA59B7">
        <w:rPr>
          <w:rFonts w:asciiTheme="majorHAnsi" w:hAnsiTheme="majorHAnsi" w:cstheme="majorHAnsi"/>
          <w:sz w:val="22"/>
          <w:szCs w:val="24"/>
        </w:rPr>
        <w:t>Lyonu</w:t>
      </w:r>
      <w:r w:rsidR="001653EB" w:rsidRPr="00BA59B7">
        <w:rPr>
          <w:rFonts w:asciiTheme="majorHAnsi" w:hAnsiTheme="majorHAnsi" w:cstheme="majorHAnsi"/>
          <w:sz w:val="22"/>
          <w:szCs w:val="24"/>
        </w:rPr>
        <w:t>?</w:t>
      </w:r>
      <w:r w:rsidRPr="00BA59B7">
        <w:rPr>
          <w:rFonts w:asciiTheme="majorHAnsi" w:hAnsiTheme="majorHAnsi" w:cstheme="majorHAnsi"/>
          <w:sz w:val="22"/>
          <w:szCs w:val="24"/>
        </w:rPr>
        <w:t xml:space="preserve"> </w:t>
      </w:r>
      <w:r w:rsidR="001653EB" w:rsidRPr="00BA59B7">
        <w:rPr>
          <w:rFonts w:asciiTheme="majorHAnsi" w:hAnsiTheme="majorHAnsi" w:cstheme="majorHAnsi"/>
          <w:sz w:val="22"/>
          <w:szCs w:val="24"/>
        </w:rPr>
        <w:t>Mohli byste Vy být voleni v Lyonu do tamějších obecních voleb a stát se tak zastupitelem města Lyon?</w:t>
      </w:r>
    </w:p>
    <w:p w14:paraId="59969C4E" w14:textId="7E7BD8DD" w:rsidR="00E8506D" w:rsidRPr="00BA59B7" w:rsidRDefault="001653EB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Máte rádi netradiční dovolené a rozhodnete se jet Vy, jako státní občané ČR, na dovolenou do státu Benin (Afrika), kde budete zatčeni nebo ztratíte cestovní doklady. Chcete pomoci, ale k Vaší smůle se zastupitelský úřad </w:t>
      </w:r>
      <w:r w:rsidR="00DC5F76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ČR </w:t>
      </w: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nenachází v Beninu, ale v Nigérii. Tam se však nemáte jak dostat, navíc bez dokladů. Zjistíte, že v Beninu je francouzské velvyslanectví. Můžete využít jeho pomoci? </w:t>
      </w:r>
    </w:p>
    <w:p w14:paraId="3BC54DA6" w14:textId="0884AA58" w:rsidR="001653EB" w:rsidRPr="00BA59B7" w:rsidRDefault="001653EB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Jako občan EU se můžete svobodně pohybovat nejen po členských státech EU, ale i po státech nečlenských jen z titulu občanství EU.</w:t>
      </w:r>
      <w:r w:rsidR="00DC5F76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 Je toto tvrzení pravdivé?</w:t>
      </w:r>
    </w:p>
    <w:p w14:paraId="399E151D" w14:textId="1D9DC6A3" w:rsidR="001653EB" w:rsidRPr="001653EB" w:rsidRDefault="001653EB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Můžete se</w:t>
      </w:r>
      <w:r w:rsidR="004E5FAF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 Vy</w:t>
      </w: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 obrátit </w:t>
      </w:r>
      <w:r w:rsidR="004E5FAF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s žádostí/dotazem na Evropskou komisi i v češtině</w:t>
      </w:r>
      <w:r w:rsidR="004E5FAF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? </w:t>
      </w:r>
    </w:p>
    <w:p w14:paraId="4887DA7F" w14:textId="77777777" w:rsidR="001653EB" w:rsidRPr="001653EB" w:rsidRDefault="001653EB" w:rsidP="001653EB">
      <w:pPr>
        <w:spacing w:after="0"/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</w:p>
    <w:p w14:paraId="0D055B8C" w14:textId="2A5FBFDE" w:rsidR="00EF61B7" w:rsidRDefault="004E5FAF" w:rsidP="00EF61B7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  <w: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>Schengenský prostor</w:t>
      </w:r>
    </w:p>
    <w:p w14:paraId="36507400" w14:textId="134A4BBF" w:rsidR="004E5FAF" w:rsidRDefault="004E5FAF" w:rsidP="00BA59B7">
      <w:p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4E5FAF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K zodpovězení těchto otázek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Vám stačí mapa a krátký text popsaný zde v zadání.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Otázky jsou spíše k zamyšlení (brainstorming)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.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Jediné info, které potřebuje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te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vědět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,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je, že se rozlišuje vnitřní a vnější hranic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e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. Vnitřní hranice = hranice mezi dvěma státy, které jsou v Schengenském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lastRenderedPageBreak/>
        <w:t xml:space="preserve">prostoru – zde jsou zrušeny kontroly na hranicích pro všechny osoby hranice překračující. Vnější hranice = hranice mezi státem, který je v Schengenském prostoru a státem, který v něm není – zde probíhá minimální kontrola pro občany EU (typicky předložení platného dokladu totožnosti – občanský průkaz, cestovní pas) pro občany EU. Pro občany třetích zemí je kontrola přísnější (například zjišťování cíle cesty či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účelu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cesty, vstupní vízum, pokud je potřeba).</w:t>
      </w:r>
    </w:p>
    <w:p w14:paraId="0BE08540" w14:textId="3223333A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Je rozdíl mezi volným pohybem a pobytem osob – občanů EU a pohybem a pobytem v rámci tzv. Schengenského prostoru? Pokud ano, jaký/jaké? Vyjděte jen z informací v přiložené mapě.</w:t>
      </w:r>
    </w:p>
    <w:p w14:paraId="3F64992E" w14:textId="77777777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Kde můžete (jako Češi) překročit hranice směrem z České republiky do Rakouska? A kde opačným směrem?</w:t>
      </w:r>
    </w:p>
    <w:p w14:paraId="115544A4" w14:textId="77777777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Proč je větší pravděpodobnost kolon aut při cestě z/na letní dovolenou do Chorvatska například na maďarsko-chorvatské hranici než na rakousko-slovinské hranici?</w:t>
      </w:r>
    </w:p>
    <w:p w14:paraId="0F3713A2" w14:textId="3C9274BC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Může být zavedena kontrola osob i na tzv. vnitřní hranici? Jmenujte příklady ve vazbě na Českou republiku a) za poslední týdny; za b) za poslední roky.</w:t>
      </w:r>
    </w:p>
    <w:p w14:paraId="11E2C196" w14:textId="2E88BF1E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Může i Česká republika v nějakých případech vykonávat vnější kontrolu, i když je obklopena státy, které jsou součástí schengenského prostoru?</w:t>
      </w:r>
    </w:p>
    <w:p w14:paraId="32F32F86" w14:textId="37457503" w:rsidR="004E5FAF" w:rsidRPr="004E5FAF" w:rsidRDefault="004E5FAF" w:rsidP="004E5FAF">
      <w:pPr>
        <w:jc w:val="center"/>
        <w:rPr>
          <w:rFonts w:asciiTheme="majorHAnsi" w:eastAsiaTheme="majorEastAsia" w:hAnsiTheme="majorHAnsi" w:cstheme="majorBidi"/>
          <w:bCs/>
          <w:sz w:val="24"/>
          <w:szCs w:val="24"/>
          <w:lang w:eastAsia="ar-SA"/>
        </w:rPr>
      </w:pPr>
      <w:r w:rsidRPr="004E5FAF">
        <w:rPr>
          <w:rFonts w:asciiTheme="majorHAnsi" w:eastAsiaTheme="majorEastAsia" w:hAnsiTheme="majorHAnsi" w:cstheme="majorBidi"/>
          <w:bCs/>
          <w:noProof/>
          <w:sz w:val="24"/>
          <w:szCs w:val="24"/>
          <w:lang w:eastAsia="ar-SA"/>
        </w:rPr>
        <w:drawing>
          <wp:inline distT="0" distB="0" distL="0" distR="0" wp14:anchorId="7EA6C4A2" wp14:editId="5ED2852B">
            <wp:extent cx="4848225" cy="5417998"/>
            <wp:effectExtent l="0" t="0" r="0" b="0"/>
            <wp:docPr id="6" name="Picture 2" descr="Schengen: enlargement of Europe's border-free area | News | European  Parliament">
              <a:extLst xmlns:a="http://schemas.openxmlformats.org/drawingml/2006/main">
                <a:ext uri="{FF2B5EF4-FFF2-40B4-BE49-F238E27FC236}">
                  <a16:creationId xmlns:a16="http://schemas.microsoft.com/office/drawing/2014/main" id="{B7073A4F-6062-4FC9-981A-1D9820193D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chengen: enlargement of Europe's border-free area | News | European  Parliament">
                      <a:extLst>
                        <a:ext uri="{FF2B5EF4-FFF2-40B4-BE49-F238E27FC236}">
                          <a16:creationId xmlns:a16="http://schemas.microsoft.com/office/drawing/2014/main" id="{B7073A4F-6062-4FC9-981A-1D9820193D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4179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F384F0" w14:textId="64535079" w:rsidR="007C5EAA" w:rsidRDefault="007C5EAA" w:rsidP="00DB32E2">
      <w:pPr>
        <w:jc w:val="center"/>
        <w:rPr>
          <w:noProof/>
        </w:rPr>
      </w:pPr>
    </w:p>
    <w:p w14:paraId="12B3F30F" w14:textId="18B897CB" w:rsidR="00DC5F76" w:rsidRDefault="00DC5F76" w:rsidP="004E5FAF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</w:p>
    <w:p w14:paraId="7CA40DA0" w14:textId="77777777" w:rsidR="00130FC5" w:rsidRDefault="00130FC5" w:rsidP="004E5FAF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</w:p>
    <w:p w14:paraId="5D04CB54" w14:textId="2448AA24" w:rsidR="004E5FAF" w:rsidRDefault="004E5FAF" w:rsidP="004E5FAF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  <w: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>Volný pohyb osob</w:t>
      </w:r>
    </w:p>
    <w:p w14:paraId="128B354D" w14:textId="5783E8BE" w:rsidR="004E5FAF" w:rsidRDefault="004E5FAF" w:rsidP="004E5FAF">
      <w:pPr>
        <w:rPr>
          <w:rFonts w:asciiTheme="majorHAnsi" w:eastAsiaTheme="majorEastAsia" w:hAnsiTheme="majorHAnsi" w:cstheme="majorBidi"/>
          <w:bCs/>
          <w:sz w:val="24"/>
          <w:szCs w:val="24"/>
          <w:lang w:eastAsia="ar-SA"/>
        </w:rPr>
      </w:pPr>
      <w:r w:rsidRPr="004E5FAF">
        <w:rPr>
          <w:rFonts w:asciiTheme="majorHAnsi" w:eastAsiaTheme="majorEastAsia" w:hAnsiTheme="majorHAnsi" w:cstheme="majorBidi"/>
          <w:bCs/>
          <w:sz w:val="24"/>
          <w:szCs w:val="24"/>
          <w:lang w:eastAsia="ar-SA"/>
        </w:rPr>
        <w:t>Výchozí text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DC5F76" w14:paraId="1973F0D8" w14:textId="77777777" w:rsidTr="00DC5F76">
        <w:tc>
          <w:tcPr>
            <w:tcW w:w="9174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DAEEF3" w:themeFill="accent5" w:themeFillTint="33"/>
          </w:tcPr>
          <w:p w14:paraId="734C78A3" w14:textId="1248C8EB" w:rsidR="00DC5F76" w:rsidRDefault="00C747EE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 w:rsidRPr="00C747EE">
              <w:rPr>
                <w:rFonts w:asciiTheme="majorHAnsi" w:eastAsiaTheme="majorEastAsia" w:hAnsiTheme="majorHAnsi" w:cstheme="majorBidi"/>
                <w:bCs/>
                <w:sz w:val="22"/>
                <w:szCs w:val="22"/>
                <w:lang w:eastAsia="ar-SA"/>
              </w:rPr>
              <w:t xml:space="preserve">V rámci 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volného pohybu osob můžeme rozlišit tři kategorie osob. Zaprvé, je to pohyb občanů EU na mimoekonomickém základě (například v rámci turistiky či delšího pobytu v členském státě EU, ale bez</w:t>
            </w:r>
            <w:r w:rsid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toho, aniž bychom chtěli být zaměstnáni či podnikat). Zadruhé, je to volný pohyb pracovníků (zaměstnanců) a zatřetí volný pohyb podnikajících osob (ať už fyzických, či právnických – můžete se setkat s označením svoboda usazování). </w:t>
            </w:r>
          </w:p>
          <w:p w14:paraId="0D5093E6" w14:textId="79994E8C" w:rsidR="00AA61C1" w:rsidRDefault="00AA61C1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Obecně platí zásada rovného zacházení a zákaz diskriminace na základě státní příslušnosti (ať již přímé, či nepřímé diskriminace). To znamená, že s Vámi, jako občany ČR, musí být v jiném členském státě zacházeno stejně</w:t>
            </w:r>
            <w:r w:rsidRP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jako 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se </w:t>
            </w:r>
            <w:r w:rsidRP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státní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mi</w:t>
            </w:r>
            <w:r w:rsidRP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příslušní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ky (občany) členského státu, kde pobýváte. </w:t>
            </w:r>
          </w:p>
          <w:p w14:paraId="0967424E" w14:textId="3A6DC29A" w:rsidR="00AA61C1" w:rsidRDefault="00AA61C1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Jako občané ČR (tedy občané EU) máte právo opustit území členského státu a máte právo na vstup do jiného členského státu.</w:t>
            </w:r>
            <w: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Ten zaručují</w:t>
            </w:r>
            <w:r w:rsidRP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členské státy občanům Unie s platným průkazem totožnosti nebo cestovním pasem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. A záleží dále, jak dlouho a z jakého důvodu v cizí zemi pobýváte. Rozlišujeme krátkodobý, dlouhodobý a trvalý pobyt.</w:t>
            </w:r>
          </w:p>
          <w:p w14:paraId="1FCF6277" w14:textId="110B494B" w:rsidR="00AA61C1" w:rsidRDefault="00AA61C1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Krátkodobý pobyt je pobyt do tří měsíců. Na něj máte v jiném členském státě právo, </w:t>
            </w:r>
            <w:r w:rsidRP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aniž by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ste</w:t>
            </w:r>
            <w:r w:rsidRPr="00AA61C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podléhali jakýmkoli podmínkám či formalitám s výjimkou povinnosti být držitelem platného průkazu totožnosti nebo cestovního pasu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. Pokud Vás doprovází či následuje </w:t>
            </w:r>
            <w:r w:rsid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tzv. rodinný příslušník, který není občan EU, musí být držitelem platného cestovního pasu. </w:t>
            </w:r>
          </w:p>
          <w:p w14:paraId="79076EE6" w14:textId="4A0C23FD" w:rsidR="00B70320" w:rsidRDefault="00B70320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Dlouhodobý pobyt je pobyt nad tři měsíce a do 5 let. Toto právo máte při splnění jedné ze tří následujících podmínek (postačí splnit jednu z nich). 1) Jste v jiném členském státě zaměstnáni či tam jste osobou samostatně výdělečně činnou; nebo 2) nepracujete v takovém členském státě či nejste OSVČ, ale máte 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dostatečné prostředky</w:t>
            </w:r>
            <w:r w:rsidR="00130FC5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pro sebe a své rodinné příslušníky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, aby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ste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se po dobu svého pobytu nestali zátěží pro systém sociální pomoci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v daném členském státě + se účastníte zdravotního pojištění, kterým jsou kryta všechna rizika; nebo 3) studujete v jiném členském státě + 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se účastníte zdravotního pojištění, kterým jsou kryta všechna rizika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či alternativně prohlásíte, že máte dostatečné finanční prostředky. Rodinný příslušník, který Vás doprovází či následuje, nemusí tyto podmínky splnit, pokud je splňujete Vy. </w:t>
            </w:r>
            <w:r w:rsid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Občanům EU se vydává osvědčení o registraci (pokud členský stát vyžaduje), občanům třetích států, kteří jsou rodinnými příslušníky občana EU, se vydává pobytová karta.</w:t>
            </w:r>
          </w:p>
          <w:p w14:paraId="6D4F3ED2" w14:textId="0DC73C96" w:rsidR="00B70320" w:rsidRDefault="00B70320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Právo na trvalý pobyt v jiném členském státě máte tehdy, pokud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tam nepřetržitě legálně pobýv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áte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po dobu pěti let.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Neznamená, že tuto zemi nesmíte opustit během této doby. 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Nepřetržitost pobytu není dotčena dočasnou nepřítomností po dobu nepřesahující celkem šest měsíců v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 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roce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, při výjimečným případech i déle (například vojenská služba, těhotenství, vážná nemoc, studium). </w:t>
            </w:r>
            <w:r w:rsid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Jsou výjimky, kdy jej získáte i dříve, než po 5 letech. 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Pokud jej získáte, můžete ho ztratit jen v případě, kdy</w:t>
            </w:r>
            <w:r w:rsid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nejste přítomni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</w:t>
            </w:r>
            <w:r w:rsidRPr="00B70320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po dobu delší než dva po sobě jdoucí roky.</w:t>
            </w:r>
            <w:r w:rsid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Občanům EU se vydává doklad osvědčují trvalý pobyt, občanům třetích států, kteří jsou rodinnými příslušníky občana EU, se vydává karta trvalého pobytu. </w:t>
            </w:r>
          </w:p>
          <w:p w14:paraId="48B4EC98" w14:textId="7F099371" w:rsidR="004A46B1" w:rsidRDefault="004A46B1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V textu se hovoří o rodinných příslušnících. Za něj se považuje manžel/manželka, registrovaný partner (pokud stát zachází s registrovaným partnerstvím stejně jako s manželstvím a partnerství bylo uzavřeno v členském státě), dále potomci v přímé linii (do 21 let vždy, nad tento věk, jsou-li vyživovanými osobami – typicky studenti) a předci v přímé linii, jsou-li vyživovanými osobami.</w:t>
            </w:r>
          </w:p>
          <w:p w14:paraId="702E45B6" w14:textId="3A5AA3D8" w:rsidR="004A46B1" w:rsidRDefault="004A46B1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lastRenderedPageBreak/>
              <w:t xml:space="preserve">Vaše právo na pobyt může být omezeno 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z důvodů veřejného pořádku, veřejné bezpečnosti nebo veřejného zdraví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. Při důvodu veřejného pořádku či veřejné bezpečnosti 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musí být založena výlučně na osobním chování dotyčné osoby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tak, že toto chování představuje 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skutečné, aktuální a dostatečně závažné ohrožení některého ze základních zájmů společnosti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(ale je stanoveno, že takovým důvodem není předchozí odsouzení za trestný čin). Omezit Váš pohyb a pobyt z důvodu veřejného zdraví je možné, pokud jde o 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výhradně nemoc s epidemickým potenciálem definované 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Světovou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zdravotnick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ou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organizac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í</w:t>
            </w:r>
            <w:r w:rsidRPr="004A46B1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a jiné nakažlivé nemoci, pokud se ochranná opatření </w:t>
            </w:r>
            <w:r w:rsidR="00130FC5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vztahují jak na občany daného státu, tak na ony občany jiných členských států, kteří zde pobývají. </w:t>
            </w:r>
          </w:p>
          <w:p w14:paraId="08E5BF85" w14:textId="77777777" w:rsidR="00C747EE" w:rsidRDefault="00130FC5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V krajním případě můžete být i vyhoštěni z jiného členského státu a může Vám být uložen zákaz vstupu do země, ovšem důvody pro vyhoštění jsou po 2 letech od vydání přezkoumávány, zda nebezpečí stále trvá. Nemůžete být vyhoštěni ze státu, jehož jste občany.</w:t>
            </w:r>
          </w:p>
          <w:p w14:paraId="5D49FB4C" w14:textId="77777777" w:rsidR="00130FC5" w:rsidRDefault="00130FC5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</w:pPr>
            <w:r w:rsidRPr="00130FC5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Pokud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jde o volný pohyb pracovníků, opouštíte členský stát a jdete pracovat/nechat se zaměstnat do jiného členského státu. Pracovníkem rozumíme o</w:t>
            </w:r>
            <w:r w:rsidRPr="00130FC5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sob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u</w:t>
            </w:r>
            <w:r w:rsidRPr="00130FC5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vykonávající skutečnou a efektivní činnost (s hospodářskou hodnotou) podle pokynů druhého (nechává se zaměstnat jinou osobou) za odměnu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. Opět zde platí zákaz diskriminace </w:t>
            </w:r>
            <w:r w:rsidRPr="00130FC5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mezi pracovníky členských států na základě státní příslušnosti, pokud jde o zaměstnávání, odměnu za práci a jiné pracovní podmínky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. Za diskriminac</w:t>
            </w:r>
            <w:r w:rsidR="00BA59B7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i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se však nepožaduje </w:t>
            </w:r>
            <w:r w:rsidR="00BA59B7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znalost jazyka země, ve které chcete pracovat, ale musí to vyplývat z povahy povolání (učitel). Důvody omezení jsou v zásadě stejné – veřejný pořádek, veřejná bezpečnost a ochrana zdraví. Výjimka platí také pro veřejnou správu – lze tam mít odůvodněně požadavek, aby ve státní službě pracovali jen státní příslušníci (občané) daného státu. Nicméně jedná se jen o určité profese (např. soudci), ne o všechna místa ve veřejné/státní službě.</w:t>
            </w:r>
          </w:p>
          <w:p w14:paraId="05333B3B" w14:textId="3637773E" w:rsidR="00BA59B7" w:rsidRDefault="00BA59B7" w:rsidP="00130FC5">
            <w:pPr>
              <w:jc w:val="both"/>
              <w:rPr>
                <w:rFonts w:asciiTheme="majorHAnsi" w:eastAsiaTheme="majorEastAsia" w:hAnsiTheme="majorHAnsi" w:cstheme="majorBidi"/>
                <w:bCs/>
                <w:sz w:val="24"/>
                <w:szCs w:val="24"/>
                <w:lang w:eastAsia="ar-SA"/>
              </w:rPr>
            </w:pPr>
            <w:r w:rsidRPr="00BA59B7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Volný pohyb se týká také právnických osob (například společností) a podnikatelů, resp. podnikajících fyzických osob.</w:t>
            </w:r>
            <w:r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 xml:space="preserve"> Hovoří se o svobodě usazování. Souvislost je také dána s volným pohybem služeb (osoba jede vykonávat službu do jiného členského státu, či naopak příjemce služby jede za poskytnutím služby do jiného členského státu)</w:t>
            </w:r>
            <w:r w:rsidR="001C699E">
              <w:rPr>
                <w:rFonts w:asciiTheme="majorHAnsi" w:eastAsiaTheme="majorEastAsia" w:hAnsiTheme="majorHAnsi" w:cstheme="majorBidi"/>
                <w:bCs/>
                <w:sz w:val="22"/>
                <w:lang w:eastAsia="ar-SA"/>
              </w:rPr>
              <w:t>. Toto téma souvisí také s problematikou uznávání kvalifikací. V zásadě jsou tři režimy uznávání: 1) automatický u profesí, kterou EU harmonizuje (lékař, zubní lékař, veterinární lékař, zdravotní sestra, porodní asistentka, farmaceut a architekt); 2) automatický u vybraných povolání – obchodní, průmyslové a řemeslné činnosti; 3) všeobecný systém pro ostatní povolání – vzájemné uznávání. Mohou být však stanoveny podmínky (například doplněním praxe).</w:t>
            </w:r>
          </w:p>
        </w:tc>
      </w:tr>
    </w:tbl>
    <w:p w14:paraId="7A849C82" w14:textId="22C28FC0" w:rsidR="00DC5F76" w:rsidRDefault="00DC5F76" w:rsidP="004E5FAF">
      <w:pPr>
        <w:rPr>
          <w:rFonts w:asciiTheme="majorHAnsi" w:eastAsiaTheme="majorEastAsia" w:hAnsiTheme="majorHAnsi" w:cstheme="majorBidi"/>
          <w:bCs/>
          <w:sz w:val="24"/>
          <w:szCs w:val="24"/>
          <w:lang w:eastAsia="ar-SA"/>
        </w:rPr>
      </w:pPr>
    </w:p>
    <w:p w14:paraId="1D1183FB" w14:textId="3E22CBB0" w:rsidR="007E4EC5" w:rsidRPr="007E4EC5" w:rsidRDefault="007E4EC5" w:rsidP="004E5FAF">
      <w:pPr>
        <w:rPr>
          <w:rFonts w:asciiTheme="majorHAnsi" w:eastAsiaTheme="majorEastAsia" w:hAnsiTheme="majorHAnsi" w:cstheme="majorBidi"/>
          <w:bCs/>
          <w:sz w:val="22"/>
          <w:szCs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szCs w:val="22"/>
          <w:lang w:eastAsia="ar-SA"/>
        </w:rPr>
        <w:t>Rozhodněte, zda následující tvrzení jsou pravdivá, či nikoliv</w:t>
      </w:r>
      <w:r>
        <w:rPr>
          <w:rFonts w:asciiTheme="majorHAnsi" w:eastAsiaTheme="majorEastAsia" w:hAnsiTheme="majorHAnsi" w:cstheme="majorBidi"/>
          <w:bCs/>
          <w:sz w:val="22"/>
          <w:szCs w:val="22"/>
          <w:lang w:eastAsia="ar-SA"/>
        </w:rPr>
        <w:t>, příp. odpovězte, na co se otázka ptá.</w:t>
      </w:r>
    </w:p>
    <w:p w14:paraId="120BF6AE" w14:textId="743EE90C" w:rsid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Petra (české státní občanství) vyhrála ve Sportce druhou výhru a rozhodla se procestovat v létě (15.6.2022 až 12.9.2022)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Španělsko a španělské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ostrovy.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J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edinou podmínkou pro vstup a pobyt bude na vyžádání předložení platného dokladu totožnosti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. </w:t>
      </w:r>
    </w:p>
    <w:p w14:paraId="5B6F6930" w14:textId="5D09D87D" w:rsid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Pokud Petra bude chtít si vzít jako doprovod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svého manžela Muhammada (iránské státní občanství), je to možné jen na základě předložení (na výzvu) platného cestovního pasu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.</w:t>
      </w:r>
    </w:p>
    <w:p w14:paraId="6FCCB13A" w14:textId="1A372475" w:rsidR="007E4EC5" w:rsidRPr="007E4EC5" w:rsidRDefault="007E4EC5" w:rsidP="00F26642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Pokud budete chtít pobývat nad 3 měsíce (jako občané ČR) v Rakousku, nebude Vám přiznáno právo na dlouhodobý pobyt, pokud nesplníte tyto podmínky: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zaměstnání v Rakousku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(či být OSVČ)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+ prokázání dostatku finančních prostředků pro sebe (a příp. své rodinné příslušníky) + účast na zdravotním pojištění kryjícím všechna rizika.</w:t>
      </w:r>
    </w:p>
    <w:p w14:paraId="20774B9C" w14:textId="3974908F" w:rsidR="007E4EC5" w:rsidRP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Kristýna (státní občanství české) žila po 5 letech a 16 dnech pobytu v Itálii chtěla získat osvědčení trvalého pobytu). Italské úřady odmítly trvalý pobyt přiznat z důvodu,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neboť zjistily, že Kristýna se každý rok na zhruba 2 měsíce vracela do České republiky navštívit své příbuzné.</w:t>
      </w:r>
    </w:p>
    <w:p w14:paraId="07209505" w14:textId="25EE040D" w:rsidR="007E4EC5" w:rsidRP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lastRenderedPageBreak/>
        <w:t xml:space="preserve">Dominik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(český státní občan) cestoval do Řecka, kam si s sebou vzal i drogy (trávu), kterou tam i užíval. K jeho smůle byl přichycen řeckými policejními orgány a následně byl řeckým soudem odsouzen ke 3 měsícům trestu odnětí svobody nepodmíněně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za držení omamných látek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. Poté byl ze země vyhoštěn na doživotí bez možnosti se do Řecka vrátit. Je to možné, či nikoliv? </w:t>
      </w:r>
    </w:p>
    <w:p w14:paraId="1B9C5B9E" w14:textId="1DA45E50" w:rsidR="007E4EC5" w:rsidRP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Dominik z příkladu 5 získal v roce 2022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práci na Slovensku, nicméně slovenské úřady mu nevydaly osvědčení o registraci z důvodu veřejného pořádku pro jeho záznam v rejstříku trestů.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</w:t>
      </w: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Je to možné, či nikoliv?</w:t>
      </w:r>
    </w:p>
    <w:p w14:paraId="58737BDD" w14:textId="259D9974" w:rsidR="007E4EC5" w:rsidRP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Nizozemsko se potýkalo šířením viru HIV mezi prostitutkami. Jako prostitutka tam pracovala už druhým rokem i Češka Nina. Rozhodněte její osud, zda je v souladu s</w:t>
      </w:r>
      <w:r w:rsidR="00ED0A88">
        <w:rPr>
          <w:rFonts w:asciiTheme="majorHAnsi" w:eastAsiaTheme="majorEastAsia" w:hAnsiTheme="majorHAnsi" w:cstheme="majorBidi"/>
          <w:bCs/>
          <w:sz w:val="22"/>
          <w:lang w:eastAsia="ar-SA"/>
        </w:rPr>
        <w:t> pravidly popsanými v textu.</w:t>
      </w:r>
    </w:p>
    <w:p w14:paraId="6163A15A" w14:textId="77777777" w:rsidR="007E4EC5" w:rsidRPr="007E4EC5" w:rsidRDefault="007E4EC5" w:rsidP="007E4EC5">
      <w:pPr>
        <w:pStyle w:val="Odstavecseseznamem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a) nizozemské úřady zakázaly činnost ženám z jiných členských států (ne tedy nizozemským státním občankám) z důvodu ochrany zdraví;</w:t>
      </w:r>
    </w:p>
    <w:p w14:paraId="4631F241" w14:textId="77777777" w:rsidR="007E4EC5" w:rsidRPr="007E4EC5" w:rsidRDefault="007E4EC5" w:rsidP="007E4EC5">
      <w:pPr>
        <w:pStyle w:val="Odstavecseseznamem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b) Nina může být ze země vyhoštěna, i když není nakažena virem, z důvodu ochrany veřejného zdraví;</w:t>
      </w:r>
    </w:p>
    <w:p w14:paraId="05278B6C" w14:textId="0EB34703" w:rsidR="007E4EC5" w:rsidRDefault="007E4EC5" w:rsidP="007E4EC5">
      <w:pPr>
        <w:pStyle w:val="Odstavecseseznamem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7E4EC5">
        <w:rPr>
          <w:rFonts w:asciiTheme="majorHAnsi" w:eastAsiaTheme="majorEastAsia" w:hAnsiTheme="majorHAnsi" w:cstheme="majorBidi"/>
          <w:bCs/>
          <w:sz w:val="22"/>
          <w:lang w:eastAsia="ar-SA"/>
        </w:rPr>
        <w:t>c) Nina může být ze země vyhoštěna, pokud se u ní prokáže vir, o kterém ale nevěděla a pravidelně se testovala</w:t>
      </w:r>
      <w:r w:rsidR="00ED0A88">
        <w:rPr>
          <w:rFonts w:asciiTheme="majorHAnsi" w:eastAsiaTheme="majorEastAsia" w:hAnsiTheme="majorHAnsi" w:cstheme="majorBidi"/>
          <w:bCs/>
          <w:sz w:val="22"/>
          <w:lang w:eastAsia="ar-SA"/>
        </w:rPr>
        <w:t>;</w:t>
      </w:r>
    </w:p>
    <w:p w14:paraId="0EB80068" w14:textId="7707BEC8" w:rsidR="00ED0A88" w:rsidRPr="007E4EC5" w:rsidRDefault="00ED0A88" w:rsidP="007E4EC5">
      <w:pPr>
        <w:pStyle w:val="Odstavecseseznamem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>
        <w:rPr>
          <w:rFonts w:asciiTheme="majorHAnsi" w:eastAsiaTheme="majorEastAsia" w:hAnsiTheme="majorHAnsi" w:cstheme="majorBidi"/>
          <w:bCs/>
          <w:sz w:val="22"/>
          <w:lang w:eastAsia="ar-SA"/>
        </w:rPr>
        <w:t>d) Nina může být ze země vyhoštěna, pokud o viru věděla a i přesto nadále „pracovala“.</w:t>
      </w:r>
    </w:p>
    <w:p w14:paraId="591C5F9C" w14:textId="7D2B3158" w:rsidR="007E4EC5" w:rsidRDefault="007E4EC5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ED0A88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Albert (22 let, student Právnické fakulty MU Brno, Čech) vyjel na v rámci programu Erasmus+ na 6 měsíců do portugalského Porta. Portugalské úřady mu neudělily osvědčení o registraci, protože není v Portugalsku účastníkem zdravotního pojištění. </w:t>
      </w:r>
      <w:r w:rsidR="00ED0A88">
        <w:rPr>
          <w:rFonts w:asciiTheme="majorHAnsi" w:eastAsiaTheme="majorEastAsia" w:hAnsiTheme="majorHAnsi" w:cstheme="majorBidi"/>
          <w:bCs/>
          <w:sz w:val="22"/>
          <w:lang w:eastAsia="ar-SA"/>
        </w:rPr>
        <w:t>Je tento postup úřadů v pořádku?</w:t>
      </w:r>
      <w:r w:rsidRPr="00ED0A88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</w:t>
      </w:r>
    </w:p>
    <w:p w14:paraId="4B9E4EE7" w14:textId="6B26AD61" w:rsidR="00ED0A88" w:rsidRDefault="00ED0A88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Vystudovali jste učitelství občanské výchovy na Pedagogické fakultě MU v Brně a obdrželi titul Mgr. Chcete pracovat jako učitel občanské výchovy v Rakousku, protože jsou tam mnohonásobně vyšší platy. Rakouská škola stanovila podmínku, že musíte umět německy. Vy německy umíte jen trochu, ne moc dobře, avšak argumentujete, že se dopouští diskriminace, protože s občany EU má být zacházeno stejně a je zakázána diskriminace. </w:t>
      </w:r>
    </w:p>
    <w:p w14:paraId="1106A490" w14:textId="7CAFDB09" w:rsidR="00ED0A88" w:rsidRDefault="00ED0A88" w:rsidP="007E4EC5">
      <w:pPr>
        <w:pStyle w:val="Odstavecseseznamem"/>
        <w:numPr>
          <w:ilvl w:val="0"/>
          <w:numId w:val="31"/>
        </w:numPr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>
        <w:rPr>
          <w:rFonts w:asciiTheme="majorHAnsi" w:eastAsiaTheme="majorEastAsia" w:hAnsiTheme="majorHAnsi" w:cstheme="majorBidi"/>
          <w:bCs/>
          <w:sz w:val="22"/>
          <w:lang w:eastAsia="ar-SA"/>
        </w:rPr>
        <w:t>Změnila by se Vaše odpověď v ot. č. 9, pokud byste se ucházeli nikoliv o učitelství občanské výchovy, ale o práci mzdové účetní ve vídeňské firmě?</w:t>
      </w:r>
    </w:p>
    <w:p w14:paraId="7363F4DF" w14:textId="77777777" w:rsidR="00ED0A88" w:rsidRPr="00ED0A88" w:rsidRDefault="00ED0A88" w:rsidP="00ED0A88">
      <w:pPr>
        <w:pStyle w:val="Odstavecseseznamem"/>
        <w:spacing w:before="120" w:line="240" w:lineRule="exact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</w:p>
    <w:p w14:paraId="424AA73F" w14:textId="06E07183" w:rsidR="007C5EAA" w:rsidRDefault="00DB32E2" w:rsidP="001C699E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  <w:r w:rsidRPr="00DB32E2">
        <w:t xml:space="preserve"> </w:t>
      </w:r>
    </w:p>
    <w:p w14:paraId="29D69BB3" w14:textId="6B6F5D6B" w:rsidR="00EF61B7" w:rsidRDefault="00EF61B7" w:rsidP="00DB32E2">
      <w:pPr>
        <w:jc w:val="center"/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</w:p>
    <w:p w14:paraId="6219867C" w14:textId="77777777" w:rsidR="001B69B1" w:rsidRPr="003B71B7" w:rsidRDefault="001B69B1" w:rsidP="003B71B7">
      <w:pPr>
        <w:rPr>
          <w:rFonts w:asciiTheme="majorHAnsi" w:eastAsiaTheme="majorEastAsia" w:hAnsiTheme="majorHAnsi" w:cstheme="majorBidi"/>
          <w:bCs/>
          <w:sz w:val="22"/>
          <w:lang w:eastAsia="ar-SA"/>
        </w:rPr>
      </w:pPr>
    </w:p>
    <w:sectPr w:rsidR="001B69B1" w:rsidRPr="003B71B7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47CE" w14:textId="77777777" w:rsidR="00C70F56" w:rsidRDefault="00C70F56" w:rsidP="0036679C">
      <w:r>
        <w:separator/>
      </w:r>
    </w:p>
    <w:p w14:paraId="07C7967C" w14:textId="77777777" w:rsidR="00C70F56" w:rsidRDefault="00C70F56"/>
  </w:endnote>
  <w:endnote w:type="continuationSeparator" w:id="0">
    <w:p w14:paraId="7BCE7B42" w14:textId="77777777" w:rsidR="00C70F56" w:rsidRDefault="00C70F56" w:rsidP="0036679C">
      <w:r>
        <w:continuationSeparator/>
      </w:r>
    </w:p>
    <w:p w14:paraId="3B5B98E0" w14:textId="77777777" w:rsidR="00C70F56" w:rsidRDefault="00C70F56"/>
  </w:endnote>
  <w:endnote w:type="continuationNotice" w:id="1">
    <w:p w14:paraId="7EA0618C" w14:textId="77777777" w:rsidR="00C70F56" w:rsidRDefault="00C70F56" w:rsidP="0036679C"/>
    <w:p w14:paraId="69CB44CC" w14:textId="77777777" w:rsidR="00C70F56" w:rsidRDefault="00C7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48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55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844B" w14:textId="77777777" w:rsidR="00C70F56" w:rsidRPr="00A510E1" w:rsidRDefault="00C70F56" w:rsidP="0036679C">
      <w:r w:rsidRPr="00A510E1">
        <w:separator/>
      </w:r>
    </w:p>
  </w:footnote>
  <w:footnote w:type="continuationSeparator" w:id="0">
    <w:p w14:paraId="76591657" w14:textId="77777777" w:rsidR="00C70F56" w:rsidRDefault="00C70F56" w:rsidP="0036679C">
      <w:r>
        <w:continuationSeparator/>
      </w:r>
    </w:p>
    <w:p w14:paraId="52BB03E9" w14:textId="77777777" w:rsidR="00C70F56" w:rsidRDefault="00C70F56"/>
  </w:footnote>
  <w:footnote w:type="continuationNotice" w:id="1">
    <w:p w14:paraId="5797DEF5" w14:textId="77777777" w:rsidR="00C70F56" w:rsidRDefault="00C70F56" w:rsidP="0036679C"/>
    <w:p w14:paraId="78513A23" w14:textId="77777777" w:rsidR="00C70F56" w:rsidRDefault="00C70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F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9C321DA" wp14:editId="5DF688A0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5C9"/>
    <w:multiLevelType w:val="hybridMultilevel"/>
    <w:tmpl w:val="03B8E782"/>
    <w:lvl w:ilvl="0" w:tplc="00C4A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D255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9D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3CAC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5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22D5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18DF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4653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4A06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F39"/>
    <w:multiLevelType w:val="hybridMultilevel"/>
    <w:tmpl w:val="51A46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031"/>
    <w:multiLevelType w:val="hybridMultilevel"/>
    <w:tmpl w:val="F170E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47C"/>
    <w:multiLevelType w:val="hybridMultilevel"/>
    <w:tmpl w:val="D65C1828"/>
    <w:lvl w:ilvl="0" w:tplc="0405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5" w15:restartNumberingAfterBreak="0">
    <w:nsid w:val="0F914FEE"/>
    <w:multiLevelType w:val="hybridMultilevel"/>
    <w:tmpl w:val="300C9F50"/>
    <w:lvl w:ilvl="0" w:tplc="7772D3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5D6"/>
    <w:multiLevelType w:val="hybridMultilevel"/>
    <w:tmpl w:val="80C2FA42"/>
    <w:lvl w:ilvl="0" w:tplc="096843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6630D8"/>
    <w:multiLevelType w:val="hybridMultilevel"/>
    <w:tmpl w:val="12081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482A"/>
    <w:multiLevelType w:val="hybridMultilevel"/>
    <w:tmpl w:val="08F0484C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C902BD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F0403"/>
    <w:multiLevelType w:val="hybridMultilevel"/>
    <w:tmpl w:val="08F0484C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C902BD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7EDD"/>
    <w:multiLevelType w:val="hybridMultilevel"/>
    <w:tmpl w:val="4F40A40E"/>
    <w:lvl w:ilvl="0" w:tplc="352C597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6C7"/>
    <w:multiLevelType w:val="hybridMultilevel"/>
    <w:tmpl w:val="44083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643A"/>
    <w:multiLevelType w:val="hybridMultilevel"/>
    <w:tmpl w:val="8A94F0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F861A4"/>
    <w:multiLevelType w:val="hybridMultilevel"/>
    <w:tmpl w:val="B7E0B286"/>
    <w:lvl w:ilvl="0" w:tplc="7772D3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8100C"/>
    <w:multiLevelType w:val="hybridMultilevel"/>
    <w:tmpl w:val="9412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6" w15:restartNumberingAfterBreak="0">
    <w:nsid w:val="442D3BC8"/>
    <w:multiLevelType w:val="hybridMultilevel"/>
    <w:tmpl w:val="3B1CE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6781"/>
    <w:multiLevelType w:val="hybridMultilevel"/>
    <w:tmpl w:val="E84C2FEE"/>
    <w:lvl w:ilvl="0" w:tplc="7772D3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D2657"/>
    <w:multiLevelType w:val="hybridMultilevel"/>
    <w:tmpl w:val="3EDCD81C"/>
    <w:lvl w:ilvl="0" w:tplc="AFE69F3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719F7"/>
    <w:multiLevelType w:val="hybridMultilevel"/>
    <w:tmpl w:val="89F2763E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15D08"/>
    <w:multiLevelType w:val="hybridMultilevel"/>
    <w:tmpl w:val="BBD8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1B52"/>
    <w:multiLevelType w:val="hybridMultilevel"/>
    <w:tmpl w:val="9332846E"/>
    <w:lvl w:ilvl="0" w:tplc="0A6889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7A1"/>
    <w:multiLevelType w:val="hybridMultilevel"/>
    <w:tmpl w:val="77BCDFF2"/>
    <w:lvl w:ilvl="0" w:tplc="AFE69F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654BD"/>
    <w:multiLevelType w:val="hybridMultilevel"/>
    <w:tmpl w:val="91A29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A0454"/>
    <w:multiLevelType w:val="hybridMultilevel"/>
    <w:tmpl w:val="2CBA4D9C"/>
    <w:lvl w:ilvl="0" w:tplc="AFE69F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33BC0"/>
    <w:multiLevelType w:val="hybridMultilevel"/>
    <w:tmpl w:val="BBD80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E6E17"/>
    <w:multiLevelType w:val="hybridMultilevel"/>
    <w:tmpl w:val="338CDFA8"/>
    <w:lvl w:ilvl="0" w:tplc="B0EA7C0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960B0"/>
    <w:multiLevelType w:val="hybridMultilevel"/>
    <w:tmpl w:val="F0241E1C"/>
    <w:lvl w:ilvl="0" w:tplc="352C597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78C5"/>
    <w:multiLevelType w:val="hybridMultilevel"/>
    <w:tmpl w:val="C640417C"/>
    <w:lvl w:ilvl="0" w:tplc="C0DAF7E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F2381"/>
    <w:multiLevelType w:val="hybridMultilevel"/>
    <w:tmpl w:val="A2422F54"/>
    <w:lvl w:ilvl="0" w:tplc="2862C6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6EE6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F6E5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C236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CD8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7E4A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8079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4A0E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48F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43920"/>
    <w:multiLevelType w:val="hybridMultilevel"/>
    <w:tmpl w:val="C04E0274"/>
    <w:lvl w:ilvl="0" w:tplc="6F7EA8C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02F2D"/>
    <w:multiLevelType w:val="hybridMultilevel"/>
    <w:tmpl w:val="0A104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4"/>
  </w:num>
  <w:num w:numId="2">
    <w:abstractNumId w:val="32"/>
  </w:num>
  <w:num w:numId="3">
    <w:abstractNumId w:val="15"/>
  </w:num>
  <w:num w:numId="4">
    <w:abstractNumId w:val="13"/>
  </w:num>
  <w:num w:numId="5">
    <w:abstractNumId w:val="5"/>
  </w:num>
  <w:num w:numId="6">
    <w:abstractNumId w:val="12"/>
  </w:num>
  <w:num w:numId="7">
    <w:abstractNumId w:val="17"/>
  </w:num>
  <w:num w:numId="8">
    <w:abstractNumId w:val="16"/>
  </w:num>
  <w:num w:numId="9">
    <w:abstractNumId w:val="24"/>
  </w:num>
  <w:num w:numId="10">
    <w:abstractNumId w:val="30"/>
  </w:num>
  <w:num w:numId="11">
    <w:abstractNumId w:val="28"/>
  </w:num>
  <w:num w:numId="12">
    <w:abstractNumId w:val="22"/>
  </w:num>
  <w:num w:numId="13">
    <w:abstractNumId w:val="18"/>
  </w:num>
  <w:num w:numId="14">
    <w:abstractNumId w:val="26"/>
  </w:num>
  <w:num w:numId="15">
    <w:abstractNumId w:val="8"/>
  </w:num>
  <w:num w:numId="16">
    <w:abstractNumId w:val="0"/>
  </w:num>
  <w:num w:numId="17">
    <w:abstractNumId w:val="29"/>
  </w:num>
  <w:num w:numId="18">
    <w:abstractNumId w:val="6"/>
  </w:num>
  <w:num w:numId="19">
    <w:abstractNumId w:val="3"/>
  </w:num>
  <w:num w:numId="20">
    <w:abstractNumId w:val="21"/>
  </w:num>
  <w:num w:numId="21">
    <w:abstractNumId w:val="31"/>
  </w:num>
  <w:num w:numId="22">
    <w:abstractNumId w:val="25"/>
  </w:num>
  <w:num w:numId="23">
    <w:abstractNumId w:val="19"/>
  </w:num>
  <w:num w:numId="24">
    <w:abstractNumId w:val="9"/>
  </w:num>
  <w:num w:numId="25">
    <w:abstractNumId w:val="20"/>
  </w:num>
  <w:num w:numId="26">
    <w:abstractNumId w:val="7"/>
  </w:num>
  <w:num w:numId="27">
    <w:abstractNumId w:val="2"/>
  </w:num>
  <w:num w:numId="28">
    <w:abstractNumId w:val="1"/>
  </w:num>
  <w:num w:numId="29">
    <w:abstractNumId w:val="11"/>
  </w:num>
  <w:num w:numId="30">
    <w:abstractNumId w:val="10"/>
  </w:num>
  <w:num w:numId="31">
    <w:abstractNumId w:val="23"/>
  </w:num>
  <w:num w:numId="32">
    <w:abstractNumId w:val="27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0FC5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1D4B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4584"/>
    <w:rsid w:val="001653EB"/>
    <w:rsid w:val="00165CAF"/>
    <w:rsid w:val="00171997"/>
    <w:rsid w:val="00173DBE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1CC7"/>
    <w:rsid w:val="001A1D63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9B1"/>
    <w:rsid w:val="001B6C4B"/>
    <w:rsid w:val="001C02A8"/>
    <w:rsid w:val="001C592D"/>
    <w:rsid w:val="001C59BA"/>
    <w:rsid w:val="001C5EB9"/>
    <w:rsid w:val="001C699E"/>
    <w:rsid w:val="001C6D49"/>
    <w:rsid w:val="001C71D1"/>
    <w:rsid w:val="001D25FF"/>
    <w:rsid w:val="001D35A7"/>
    <w:rsid w:val="001D37EA"/>
    <w:rsid w:val="001D3AA3"/>
    <w:rsid w:val="001D4337"/>
    <w:rsid w:val="001D5452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678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1D86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17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5A85"/>
    <w:rsid w:val="00356EF1"/>
    <w:rsid w:val="00363AEF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BE3"/>
    <w:rsid w:val="003A462D"/>
    <w:rsid w:val="003A5704"/>
    <w:rsid w:val="003B0E90"/>
    <w:rsid w:val="003B1DCD"/>
    <w:rsid w:val="003B71B7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2EF3"/>
    <w:rsid w:val="004834CF"/>
    <w:rsid w:val="004837A1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46B1"/>
    <w:rsid w:val="004A50D6"/>
    <w:rsid w:val="004A60A7"/>
    <w:rsid w:val="004B1782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5FAF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2DD7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3E5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93C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5497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770"/>
    <w:rsid w:val="0070767B"/>
    <w:rsid w:val="007141B5"/>
    <w:rsid w:val="007148BE"/>
    <w:rsid w:val="00714D35"/>
    <w:rsid w:val="00720712"/>
    <w:rsid w:val="00720831"/>
    <w:rsid w:val="0072538C"/>
    <w:rsid w:val="0072704B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394"/>
    <w:rsid w:val="00775FD8"/>
    <w:rsid w:val="007814D5"/>
    <w:rsid w:val="00781A00"/>
    <w:rsid w:val="00782F71"/>
    <w:rsid w:val="00784BBD"/>
    <w:rsid w:val="007856B7"/>
    <w:rsid w:val="007958F7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EAA"/>
    <w:rsid w:val="007C5F66"/>
    <w:rsid w:val="007D7271"/>
    <w:rsid w:val="007D735D"/>
    <w:rsid w:val="007D779A"/>
    <w:rsid w:val="007E0B6E"/>
    <w:rsid w:val="007E1DBF"/>
    <w:rsid w:val="007E4C43"/>
    <w:rsid w:val="007E4EC5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17DC"/>
    <w:rsid w:val="00852443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3435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7E5F"/>
    <w:rsid w:val="009C05ED"/>
    <w:rsid w:val="009C08E5"/>
    <w:rsid w:val="009C0F32"/>
    <w:rsid w:val="009C34D1"/>
    <w:rsid w:val="009C35F3"/>
    <w:rsid w:val="009C3D44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497B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41B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67AAD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45B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28F3"/>
    <w:rsid w:val="00AA5D7F"/>
    <w:rsid w:val="00AA61C1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0320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27B9"/>
    <w:rsid w:val="00BA43A2"/>
    <w:rsid w:val="00BA59B7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6C86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22DF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36192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0F56"/>
    <w:rsid w:val="00C719A1"/>
    <w:rsid w:val="00C72196"/>
    <w:rsid w:val="00C73B2D"/>
    <w:rsid w:val="00C747EE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443D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57D0A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C1E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32E2"/>
    <w:rsid w:val="00DB48C2"/>
    <w:rsid w:val="00DC0BDA"/>
    <w:rsid w:val="00DC1075"/>
    <w:rsid w:val="00DC5F5C"/>
    <w:rsid w:val="00DC5F76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8506D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0A8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61B7"/>
    <w:rsid w:val="00EF722D"/>
    <w:rsid w:val="00F0398D"/>
    <w:rsid w:val="00F04729"/>
    <w:rsid w:val="00F05C76"/>
    <w:rsid w:val="00F06A6B"/>
    <w:rsid w:val="00F0716E"/>
    <w:rsid w:val="00F10418"/>
    <w:rsid w:val="00F124B2"/>
    <w:rsid w:val="00F14169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7E25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CB152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FC5"/>
  </w:style>
  <w:style w:type="paragraph" w:styleId="Nadpis1">
    <w:name w:val="heading 1"/>
    <w:basedOn w:val="Normln"/>
    <w:next w:val="Normln"/>
    <w:link w:val="Nadpis1Char"/>
    <w:uiPriority w:val="9"/>
    <w:qFormat/>
    <w:locked/>
    <w:rsid w:val="00130F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130F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130F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130F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locked/>
    <w:rsid w:val="00130F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locked/>
    <w:rsid w:val="00130F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locked/>
    <w:rsid w:val="00130F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locked/>
    <w:rsid w:val="00130F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130F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30FC5"/>
    <w:rPr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130F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30FC5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uiPriority w:val="9"/>
    <w:rsid w:val="00130FC5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130FC5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 w:val="0"/>
      <w:bCs w:val="0"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rsid w:val="00C72196"/>
    <w:pPr>
      <w:keepNext/>
      <w:suppressAutoHyphens/>
      <w:spacing w:before="240" w:after="240"/>
    </w:pPr>
    <w:rPr>
      <w:rFonts w:asciiTheme="majorHAnsi" w:eastAsia="SimSun" w:hAnsiTheme="majorHAnsi"/>
      <w:bCs w:val="0"/>
      <w:i/>
      <w:iCs/>
      <w:color w:val="0000DC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30FC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130FC5"/>
    <w:pPr>
      <w:spacing w:after="0" w:line="240" w:lineRule="auto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rsid w:val="00595DAA"/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130FC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30FC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30FC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30FC5"/>
    <w:rPr>
      <w:rFonts w:asciiTheme="majorHAnsi" w:eastAsiaTheme="majorEastAsia" w:hAnsiTheme="majorHAnsi" w:cstheme="majorBidi"/>
      <w:i/>
      <w:iCs/>
      <w:sz w:val="22"/>
      <w:szCs w:val="22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uiPriority w:val="9"/>
    <w:rsid w:val="00130FC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sid w:val="00130FC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130FC5"/>
    <w:rPr>
      <w:b/>
      <w:bCs/>
      <w:smallCaps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F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FC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customStyle="1" w:styleId="Odrka">
    <w:name w:val="Odrážka"/>
    <w:basedOn w:val="Normln"/>
    <w:rsid w:val="006D4300"/>
    <w:pPr>
      <w:numPr>
        <w:numId w:val="1"/>
      </w:numPr>
      <w:spacing w:line="240" w:lineRule="exact"/>
      <w:contextualSpacing/>
    </w:pPr>
    <w:rPr>
      <w:rFonts w:eastAsiaTheme="minorHAnsi"/>
      <w:bCs/>
      <w:lang w:eastAsia="en-US"/>
    </w:rPr>
  </w:style>
  <w:style w:type="paragraph" w:customStyle="1" w:styleId="Odstavecseseznamem2">
    <w:name w:val="Odstavec se seznamem 2"/>
    <w:basedOn w:val="Odstavecseseznamem"/>
    <w:rsid w:val="00D15223"/>
  </w:style>
  <w:style w:type="paragraph" w:customStyle="1" w:styleId="slovanodrka">
    <w:name w:val="Číslovaná odrážka"/>
    <w:basedOn w:val="Odrka"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qFormat/>
    <w:rsid w:val="00130FC5"/>
    <w:rPr>
      <w:b/>
      <w:bCs/>
      <w:i/>
      <w:iCs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rsid w:val="00FB21D4"/>
    <w:pPr>
      <w:tabs>
        <w:tab w:val="center" w:pos="4536"/>
        <w:tab w:val="right" w:pos="9072"/>
      </w:tabs>
      <w:spacing w:after="0" w:line="240" w:lineRule="exac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30FC5"/>
    <w:pPr>
      <w:outlineLvl w:val="9"/>
    </w:pPr>
  </w:style>
  <w:style w:type="paragraph" w:styleId="Obsah1">
    <w:name w:val="toc 1"/>
    <w:basedOn w:val="Normln"/>
    <w:next w:val="Normln"/>
    <w:autoRedefine/>
    <w:uiPriority w:val="39"/>
    <w:locked/>
    <w:rsid w:val="00E224E8"/>
    <w:pPr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130F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30FC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Nadpis8Char">
    <w:name w:val="Nadpis 8 Char"/>
    <w:basedOn w:val="Standardnpsmoodstavce"/>
    <w:link w:val="Nadpis8"/>
    <w:uiPriority w:val="9"/>
    <w:rsid w:val="00130FC5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2">
    <w:name w:val="l2"/>
    <w:basedOn w:val="Normln"/>
    <w:rsid w:val="003A2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3A2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FC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itt">
    <w:name w:val="Quote"/>
    <w:basedOn w:val="Normln"/>
    <w:next w:val="Normln"/>
    <w:link w:val="CittChar"/>
    <w:uiPriority w:val="29"/>
    <w:qFormat/>
    <w:rsid w:val="00130F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0FC5"/>
    <w:rPr>
      <w:i/>
      <w:iCs/>
    </w:rPr>
  </w:style>
  <w:style w:type="character" w:styleId="Zdraznnjemn">
    <w:name w:val="Subtle Emphasis"/>
    <w:basedOn w:val="Standardnpsmoodstavce"/>
    <w:uiPriority w:val="19"/>
    <w:qFormat/>
    <w:rsid w:val="00130FC5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130FC5"/>
    <w:rPr>
      <w:smallCap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130FC5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5</Pages>
  <Words>1931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21</cp:revision>
  <cp:lastPrinted>2020-01-04T17:40:00Z</cp:lastPrinted>
  <dcterms:created xsi:type="dcterms:W3CDTF">2022-02-17T09:54:00Z</dcterms:created>
  <dcterms:modified xsi:type="dcterms:W3CDTF">2022-10-28T17:47:00Z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