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51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40"/>
          <w:szCs w:val="40"/>
          <w:lang w:eastAsia="cs-CZ"/>
        </w:rPr>
      </w:pPr>
      <w:r>
        <w:rPr>
          <w:rFonts w:asciiTheme="majorHAnsi" w:eastAsia="Times New Roman" w:hAnsiTheme="majorHAnsi" w:cs="Times New Roman"/>
          <w:b/>
          <w:bCs/>
          <w:sz w:val="40"/>
          <w:szCs w:val="40"/>
          <w:lang w:eastAsia="cs-CZ"/>
        </w:rPr>
        <w:t xml:space="preserve">16/ </w:t>
      </w:r>
      <w:r w:rsidRPr="00AC002E">
        <w:rPr>
          <w:rFonts w:asciiTheme="majorHAnsi" w:eastAsia="Times New Roman" w:hAnsiTheme="majorHAnsi" w:cs="Times New Roman"/>
          <w:b/>
          <w:bCs/>
          <w:sz w:val="40"/>
          <w:szCs w:val="40"/>
          <w:lang w:eastAsia="cs-CZ"/>
        </w:rPr>
        <w:t>Předškolní vzdělávání</w:t>
      </w:r>
    </w:p>
    <w:p w:rsidR="00141F51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40"/>
          <w:szCs w:val="40"/>
          <w:lang w:eastAsia="cs-CZ"/>
        </w:rPr>
      </w:pP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40"/>
          <w:szCs w:val="40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noProof/>
          <w:sz w:val="40"/>
          <w:szCs w:val="40"/>
          <w:lang w:eastAsia="cs-CZ"/>
        </w:rPr>
        <w:drawing>
          <wp:inline distT="0" distB="0" distL="0" distR="0">
            <wp:extent cx="1175766" cy="2036064"/>
            <wp:effectExtent l="19050" t="0" r="5334" b="0"/>
            <wp:docPr id="7" name="obrázek 3" descr="C:\Users\Soninka\Pictures\Moje naskenované obrázky\2010-11 (XI)\images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0" name="Picture 2" descr="C:\Users\Soninka\Pictures\Moje naskenované obrázky\2010-11 (XI)\image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573" cy="203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F51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141F51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Klíčové pojmy:</w:t>
      </w:r>
    </w:p>
    <w:p w:rsidR="00141F51" w:rsidRPr="00CD5408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>U dětí s mentální retardací:</w:t>
      </w:r>
    </w:p>
    <w:p w:rsidR="00141F51" w:rsidRPr="00CD5408" w:rsidRDefault="00141F51" w:rsidP="00141F51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je zajištěno osvojení specifických dovedností zaměřených na zvládnutí </w:t>
      </w:r>
      <w:proofErr w:type="spellStart"/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sebeobsluhy</w:t>
      </w:r>
      <w:proofErr w:type="spellEnd"/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a základních hygienických návyků v úrovni odpovídající věku dítěte a stupni postižení, </w:t>
      </w:r>
    </w:p>
    <w:p w:rsidR="00141F51" w:rsidRPr="00CD5408" w:rsidRDefault="00141F51" w:rsidP="00141F51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jsou využívány vhodné kompenzační (technické a didaktické) pomůcky, </w:t>
      </w:r>
    </w:p>
    <w:p w:rsidR="00141F51" w:rsidRPr="00CD5408" w:rsidRDefault="00141F51" w:rsidP="00141F51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je zajištěna přítomnost asistenta (podle míry a stupně </w:t>
      </w:r>
      <w:proofErr w:type="gramStart"/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postižení,)</w:t>
      </w:r>
      <w:proofErr w:type="gramEnd"/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</w:t>
      </w:r>
    </w:p>
    <w:p w:rsidR="00141F51" w:rsidRDefault="00141F51" w:rsidP="00141F51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počet dětí ve třídě je snížen. </w:t>
      </w:r>
    </w:p>
    <w:p w:rsidR="00141F51" w:rsidRPr="00CD5408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141F51" w:rsidRPr="00CD5408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>U dětí s více vadami a autismem:</w:t>
      </w: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</w:t>
      </w:r>
    </w:p>
    <w:p w:rsidR="00141F51" w:rsidRPr="00CD5408" w:rsidRDefault="00141F51" w:rsidP="00141F51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je zajištěno osvojení specifických dovedností, zaměřených na </w:t>
      </w:r>
      <w:proofErr w:type="spellStart"/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sebeobsluhu</w:t>
      </w:r>
      <w:proofErr w:type="spellEnd"/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, </w:t>
      </w:r>
    </w:p>
    <w:p w:rsidR="00141F51" w:rsidRPr="00CD5408" w:rsidRDefault="00141F51" w:rsidP="00141F51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vzdělávací prostředí je klidné a pro dítě podnětné, </w:t>
      </w:r>
    </w:p>
    <w:p w:rsidR="00141F51" w:rsidRPr="00CD5408" w:rsidRDefault="00141F51" w:rsidP="00141F51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je zajištěna přítomnost asistenta, </w:t>
      </w:r>
    </w:p>
    <w:p w:rsidR="00141F51" w:rsidRPr="00CD5408" w:rsidRDefault="00141F51" w:rsidP="00141F51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počet dětí ve třídě je snížen, </w:t>
      </w:r>
    </w:p>
    <w:p w:rsidR="00141F51" w:rsidRPr="00CD5408" w:rsidRDefault="00141F51" w:rsidP="00141F51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jsou využívány vhodné kompenzační (technické a didaktické) </w:t>
      </w:r>
      <w:proofErr w:type="gramStart"/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pomůcky ,</w:t>
      </w:r>
      <w:proofErr w:type="gramEnd"/>
    </w:p>
    <w:p w:rsidR="00141F51" w:rsidRPr="00CD5408" w:rsidRDefault="00141F51" w:rsidP="00141F51">
      <w:pPr>
        <w:numPr>
          <w:ilvl w:val="0"/>
          <w:numId w:val="6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D540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jsou zajištěny další podmínky podle druhu a stupně postižení. </w:t>
      </w:r>
    </w:p>
    <w:p w:rsidR="00141F51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Co definuje RVP ZV?</w:t>
      </w:r>
    </w:p>
    <w:p w:rsidR="00141F51" w:rsidRPr="00AC002E" w:rsidRDefault="00141F51" w:rsidP="00141F51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vymezuje základní požadavky, podmínky a pravidla pro vzdělávání dětí předškolního věku. </w:t>
      </w:r>
    </w:p>
    <w:p w:rsidR="00141F51" w:rsidRPr="00AC002E" w:rsidRDefault="00141F51" w:rsidP="00141F51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vychází z respektování individuálních potřeb a možností dětí</w:t>
      </w:r>
    </w:p>
    <w:p w:rsidR="00141F51" w:rsidRPr="00AC002E" w:rsidRDefault="00141F51" w:rsidP="00141F51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komplexním rámcem a zásadním východiskem pro tvorbu školních vzdělávacích programů</w:t>
      </w:r>
    </w:p>
    <w:p w:rsidR="00141F51" w:rsidRPr="00AC002E" w:rsidRDefault="00141F51" w:rsidP="00141F51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úkolem předškolního vzdělávání je „doplňovat a podporovat rodinnou výchovu“, zajišťovat „dostatek mnohostranných a přiměřených podnětů k jeho aktivnímu rozvoji a učení a poskytovat odbornou podporu dítěte </w:t>
      </w:r>
    </w:p>
    <w:p w:rsidR="00141F51" w:rsidRPr="00AC002E" w:rsidRDefault="00141F51" w:rsidP="00141F51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ŠVP si tvoří jednotlivé školy samy na základě svých možností. Mohou se zde odrážet kulturní, sportovní a přírodní příležitosti daného regionu či specifické odbornosti pedagogických pracovníků</w:t>
      </w:r>
    </w:p>
    <w:p w:rsidR="000D2D14" w:rsidRDefault="00141F51" w:rsidP="00141F51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RVP PV pracuje se čtyřmi cílovými kategoriemi, které představují </w:t>
      </w:r>
    </w:p>
    <w:p w:rsidR="00141F51" w:rsidRDefault="00141F51" w:rsidP="000D2D14">
      <w:pPr>
        <w:pStyle w:val="Odstavecseseznamem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cs-CZ"/>
        </w:rPr>
      </w:pPr>
      <w:r w:rsidRPr="000D2D14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cs-CZ"/>
        </w:rPr>
        <w:t>rámcové cíle, klíčové kompetence, dílčí cíle a dílčí výstupy</w:t>
      </w:r>
    </w:p>
    <w:p w:rsidR="000D2D14" w:rsidRDefault="000D2D14" w:rsidP="000D2D14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cs-CZ"/>
        </w:rPr>
      </w:pPr>
    </w:p>
    <w:p w:rsidR="000D2D14" w:rsidRPr="000D2D14" w:rsidRDefault="000D2D14" w:rsidP="000D2D14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cs-CZ"/>
        </w:rPr>
      </w:pPr>
    </w:p>
    <w:p w:rsidR="000D2D14" w:rsidRDefault="00141F51" w:rsidP="00141F51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Vymezuje 3 rámcové cíle: </w:t>
      </w:r>
    </w:p>
    <w:p w:rsidR="00141F51" w:rsidRDefault="00141F51" w:rsidP="00141F51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1. rozvíjení dítěte, jeho učení a poznání. 2. osvojení hodnot. 3. získání osobnostních postojů</w:t>
      </w:r>
    </w:p>
    <w:p w:rsidR="00141F51" w:rsidRPr="00AC002E" w:rsidRDefault="00141F51" w:rsidP="00141F51">
      <w:pPr>
        <w:spacing w:after="0" w:line="240" w:lineRule="auto"/>
        <w:ind w:left="720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141F51" w:rsidRPr="00ED1DA9" w:rsidRDefault="00141F51" w:rsidP="00141F51">
      <w:pPr>
        <w:spacing w:after="0" w:line="240" w:lineRule="auto"/>
        <w:ind w:left="360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ED1DA9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KLÍČOVÉ KOMPETENCE PV:</w:t>
      </w:r>
    </w:p>
    <w:p w:rsidR="00141F51" w:rsidRDefault="00141F51" w:rsidP="00141F51">
      <w:pPr>
        <w:spacing w:after="0" w:line="240" w:lineRule="auto"/>
        <w:ind w:left="720"/>
        <w:rPr>
          <w:rFonts w:asciiTheme="majorHAnsi" w:eastAsia="Times New Roman" w:hAnsiTheme="majorHAnsi" w:cs="Times New Roman"/>
          <w:bCs/>
          <w:i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ED1DA9">
        <w:rPr>
          <w:rFonts w:asciiTheme="majorHAnsi" w:eastAsia="Times New Roman" w:hAnsiTheme="majorHAnsi" w:cs="Times New Roman"/>
          <w:bCs/>
          <w:i/>
          <w:sz w:val="24"/>
          <w:szCs w:val="24"/>
          <w:lang w:eastAsia="cs-CZ"/>
        </w:rPr>
        <w:t>k učení, k řešení problémů, komunikativní, sociální a osobnostní, činnostní a občanské</w:t>
      </w:r>
    </w:p>
    <w:p w:rsidR="00141F51" w:rsidRPr="00AC002E" w:rsidRDefault="00141F51" w:rsidP="00141F51">
      <w:pPr>
        <w:spacing w:after="0" w:line="240" w:lineRule="auto"/>
        <w:ind w:left="720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141F51" w:rsidRPr="00AC002E" w:rsidRDefault="00141F51" w:rsidP="00141F51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Dílčí cíle jsou stanoveny pro jednotlivé vzdělávací oblasti </w:t>
      </w:r>
    </w:p>
    <w:p w:rsidR="00141F51" w:rsidRDefault="00141F51" w:rsidP="00141F51">
      <w:pPr>
        <w:pStyle w:val="Odstavecseseznamem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i/>
          <w:sz w:val="24"/>
          <w:szCs w:val="24"/>
          <w:lang w:eastAsia="cs-CZ"/>
        </w:rPr>
      </w:pPr>
      <w:r w:rsidRPr="00ED1D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5 základních vzdělávacích oblastí, z nichž vyplývají dílčí cíle vzdělávání: </w:t>
      </w:r>
      <w:r w:rsidRPr="00ED1DA9">
        <w:rPr>
          <w:rFonts w:asciiTheme="majorHAnsi" w:eastAsia="Times New Roman" w:hAnsiTheme="majorHAnsi" w:cs="Times New Roman"/>
          <w:bCs/>
          <w:i/>
          <w:sz w:val="24"/>
          <w:szCs w:val="24"/>
          <w:lang w:eastAsia="cs-CZ"/>
        </w:rPr>
        <w:t xml:space="preserve">oblast biologická (dítě a jeho tělo), psychologická (dítě a jeho psychika), interpersonální (dítě a ten druhý), sociálně – kulturní (dítě a společnost) a environmentální (dítě a svět). </w:t>
      </w:r>
    </w:p>
    <w:p w:rsidR="00141F51" w:rsidRPr="00ED1DA9" w:rsidRDefault="00141F51" w:rsidP="00141F51">
      <w:pPr>
        <w:pStyle w:val="Odstavecseseznamem"/>
        <w:spacing w:after="0" w:line="240" w:lineRule="auto"/>
        <w:ind w:left="1440"/>
        <w:rPr>
          <w:rFonts w:asciiTheme="majorHAnsi" w:eastAsia="Times New Roman" w:hAnsiTheme="majorHAnsi" w:cs="Times New Roman"/>
          <w:bCs/>
          <w:i/>
          <w:sz w:val="24"/>
          <w:szCs w:val="24"/>
          <w:lang w:eastAsia="cs-CZ"/>
        </w:rPr>
      </w:pPr>
    </w:p>
    <w:p w:rsidR="00141F51" w:rsidRPr="00AC002E" w:rsidRDefault="00141F51" w:rsidP="00141F51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Jednotlivé oblasti obsahu detailně popisuje, vymezuje jeho dílčí cíle (jak těchto cílů dosahovat) i očekávané výstupy a rizika, která by mohla při realizaci vzdělávání kazit záměr pedagoga</w:t>
      </w:r>
    </w:p>
    <w:p w:rsidR="00141F51" w:rsidRPr="00AC002E" w:rsidRDefault="00141F51" w:rsidP="00141F51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Obecně platí, že při vzdělávání dítěte se speciálními vzdělávacími </w:t>
      </w:r>
      <w:r w:rsidRPr="000D2D14">
        <w:rPr>
          <w:rFonts w:asciiTheme="majorHAnsi" w:eastAsia="Times New Roman" w:hAnsiTheme="majorHAnsi" w:cs="Times New Roman"/>
          <w:b/>
          <w:bCs/>
          <w:sz w:val="24"/>
          <w:szCs w:val="24"/>
          <w:highlight w:val="yellow"/>
          <w:lang w:eastAsia="cs-CZ"/>
        </w:rPr>
        <w:t>23</w:t>
      </w:r>
      <w:r w:rsidRPr="000D2D1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potřebami zahrnuje škola do svých vzdělávacích strategií podpůrná opatření</w:t>
      </w: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>Základní charakteristika:</w:t>
      </w: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-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pro děti </w:t>
      </w:r>
      <w:proofErr w:type="gramStart"/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 3  do</w:t>
      </w:r>
      <w:proofErr w:type="gramEnd"/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6/7 let</w:t>
      </w:r>
    </w:p>
    <w:p w:rsidR="00141F51" w:rsidRPr="00AC002E" w:rsidRDefault="00141F51" w:rsidP="00141F51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M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ateřská škola speciální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:rsidR="00141F51" w:rsidRPr="00AC002E" w:rsidRDefault="00141F51" w:rsidP="00141F51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M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ateřská škola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:rsidR="00141F51" w:rsidRPr="00AC002E" w:rsidRDefault="00141F51" w:rsidP="00141F51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S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peciální třída při mateřské škole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- realizace v MŠ, děti se dělí na </w:t>
      </w:r>
      <w:proofErr w:type="spellStart"/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</w:t>
      </w:r>
      <w:proofErr w:type="spellEnd"/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třídy, kde mohou být děti věkově rozděleny, nebo mohou být věkově smíšeny (nejčastěji), přítomnost integrovaného dítěte může vyžadovat snížení počtu dětí ve třídě nebo přítomnost dalšího pedagoga, není to ale podmínkou</w:t>
      </w: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 podle Rámcového vzdělávacího programu pro předškolní vzdělávání (státní úroveň dokumentu)</w:t>
      </w: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- v souladu s ním MŠ vypracovávají a realizují své: </w:t>
      </w: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A/ 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školní vzdělávací programy (školní úroveň): </w:t>
      </w: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vymezuje cíle předškolního vzdělávání, klíčové kompetence, vzdělávací obsah a podmínky vzdělávání a zásady pro tvorbu školních vzdělávacích programů</w:t>
      </w: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B/ 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Učební plány a osnovy </w:t>
      </w: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141F51" w:rsidRPr="00AC002E" w:rsidRDefault="00141F51" w:rsidP="00141F51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cs-CZ"/>
        </w:rPr>
      </w:pPr>
      <w:r w:rsidRPr="00AC002E">
        <w:rPr>
          <w:rFonts w:asciiTheme="majorHAnsi" w:eastAsia="Times New Roman" w:hAnsiTheme="majorHAnsi" w:cs="Times New Roman"/>
          <w:bCs/>
          <w:sz w:val="24"/>
          <w:szCs w:val="24"/>
          <w:highlight w:val="yellow"/>
          <w:u w:val="single"/>
          <w:lang w:eastAsia="cs-CZ"/>
        </w:rPr>
        <w:t>FUNKCE</w:t>
      </w:r>
    </w:p>
    <w:p w:rsidR="00141F51" w:rsidRPr="00AC002E" w:rsidRDefault="00141F51" w:rsidP="00141F51">
      <w:pPr>
        <w:pStyle w:val="Odstavecseseznamem"/>
        <w:spacing w:after="0" w:line="240" w:lineRule="auto"/>
        <w:ind w:left="1440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141F51" w:rsidRPr="00AC002E" w:rsidRDefault="00141F51" w:rsidP="00141F51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diagnostická</w:t>
      </w:r>
      <w:r w:rsidRPr="00AC002E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(vzhledem k zařazení dítěte do dalšího vzdělávání)</w:t>
      </w:r>
    </w:p>
    <w:p w:rsidR="00141F51" w:rsidRPr="00AC002E" w:rsidRDefault="00141F51" w:rsidP="00141F51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reedukační</w:t>
      </w:r>
      <w:r w:rsidRPr="00AC002E">
        <w:rPr>
          <w:rFonts w:asciiTheme="majorHAnsi" w:eastAsia="Times New Roman" w:hAnsiTheme="majorHAnsi" w:cs="Times New Roman"/>
          <w:sz w:val="24"/>
          <w:szCs w:val="24"/>
          <w:lang w:eastAsia="cs-CZ"/>
        </w:rPr>
        <w:t>(rozvoj</w:t>
      </w:r>
      <w:proofErr w:type="gramEnd"/>
      <w:r w:rsidRPr="00AC002E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postižených funkcí s ohledem na kognitivní procesy)</w:t>
      </w:r>
    </w:p>
    <w:p w:rsidR="00141F51" w:rsidRPr="00AC002E" w:rsidRDefault="00141F51" w:rsidP="00141F51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</w:t>
      </w:r>
      <w:r w:rsidR="002F72F6"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R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ehabilitační</w:t>
      </w:r>
      <w:r w:rsidR="002F72F6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(</w:t>
      </w:r>
      <w:r w:rsidR="002F72F6">
        <w:t>Ten zahrnuje nejen péči zdravotnickou, ale v současném pojetí také sociálně právní, pedagogicko-psychologickou)</w:t>
      </w:r>
    </w:p>
    <w:p w:rsidR="00141F51" w:rsidRPr="00AC002E" w:rsidRDefault="00141F51" w:rsidP="00141F51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léčebně výchovná</w:t>
      </w:r>
      <w:r w:rsidR="000D2D1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(</w:t>
      </w:r>
      <w:proofErr w:type="spellStart"/>
      <w:r w:rsidR="000D2D14">
        <w:rPr>
          <w:rFonts w:ascii="Arial" w:hAnsi="Arial" w:cs="Arial"/>
          <w:color w:val="4D5156"/>
          <w:sz w:val="16"/>
          <w:szCs w:val="16"/>
          <w:shd w:val="clear" w:color="auto" w:fill="FFFFFF"/>
        </w:rPr>
        <w:t>mocnicích</w:t>
      </w:r>
      <w:proofErr w:type="spellEnd"/>
      <w:r w:rsidR="000D2D14">
        <w:rPr>
          <w:rFonts w:ascii="Arial" w:hAnsi="Arial" w:cs="Arial"/>
          <w:color w:val="4D5156"/>
          <w:sz w:val="16"/>
          <w:szCs w:val="16"/>
          <w:shd w:val="clear" w:color="auto" w:fill="FFFFFF"/>
        </w:rPr>
        <w:t xml:space="preserve"> a dětských </w:t>
      </w:r>
      <w:r w:rsidR="000D2D14">
        <w:rPr>
          <w:rStyle w:val="Zvraznn"/>
          <w:rFonts w:ascii="Arial" w:hAnsi="Arial" w:cs="Arial"/>
          <w:b/>
          <w:bCs/>
          <w:i w:val="0"/>
          <w:iCs w:val="0"/>
          <w:color w:val="5F6368"/>
          <w:sz w:val="16"/>
          <w:szCs w:val="16"/>
          <w:shd w:val="clear" w:color="auto" w:fill="FFFFFF"/>
        </w:rPr>
        <w:t>léčebnách</w:t>
      </w:r>
      <w:r w:rsidR="000D2D14">
        <w:rPr>
          <w:rFonts w:ascii="Arial" w:hAnsi="Arial" w:cs="Arial"/>
          <w:color w:val="4D5156"/>
          <w:sz w:val="16"/>
          <w:szCs w:val="16"/>
          <w:shd w:val="clear" w:color="auto" w:fill="FFFFFF"/>
        </w:rPr>
        <w:t> a ozdravovnách)</w:t>
      </w:r>
    </w:p>
    <w:p w:rsidR="00141F51" w:rsidRPr="00AC002E" w:rsidRDefault="00141F51" w:rsidP="00141F51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respitní</w:t>
      </w:r>
      <w:proofErr w:type="spellEnd"/>
      <w:r w:rsidRPr="00AC002E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(úleva rodičům starajícím se o dítě s postižením)</w:t>
      </w:r>
    </w:p>
    <w:p w:rsidR="00B77C53" w:rsidRDefault="00141F51" w:rsidP="00141F51"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</w:t>
      </w:r>
      <w:r w:rsidR="000D2D1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             </w:t>
      </w:r>
      <w:r w:rsidRPr="00AC002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výchovná a vzdělávací</w:t>
      </w:r>
    </w:p>
    <w:sectPr w:rsidR="00B77C53" w:rsidSect="00B7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8A1"/>
    <w:multiLevelType w:val="hybridMultilevel"/>
    <w:tmpl w:val="F3A0DC1A"/>
    <w:lvl w:ilvl="0" w:tplc="B93E055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F65574"/>
    <w:multiLevelType w:val="multilevel"/>
    <w:tmpl w:val="9228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F0FE4"/>
    <w:multiLevelType w:val="hybridMultilevel"/>
    <w:tmpl w:val="976C7916"/>
    <w:lvl w:ilvl="0" w:tplc="BF082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E4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68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F2A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E1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8A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A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40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C2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C16D57"/>
    <w:multiLevelType w:val="hybridMultilevel"/>
    <w:tmpl w:val="E444B208"/>
    <w:lvl w:ilvl="0" w:tplc="7F2C2B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9AA9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62159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2433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CA8F7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92F52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56FD1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38CC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C4542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D503F33"/>
    <w:multiLevelType w:val="hybridMultilevel"/>
    <w:tmpl w:val="9FEA5CFA"/>
    <w:lvl w:ilvl="0" w:tplc="6E28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28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0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07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43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CE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E5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A9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4D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F662CA"/>
    <w:multiLevelType w:val="hybridMultilevel"/>
    <w:tmpl w:val="6D62E184"/>
    <w:lvl w:ilvl="0" w:tplc="4600E5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08A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613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4F7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68E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477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4AB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AFC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423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1756F9"/>
    <w:multiLevelType w:val="hybridMultilevel"/>
    <w:tmpl w:val="B10222C6"/>
    <w:lvl w:ilvl="0" w:tplc="8C5E8B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4E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A81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C6F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2C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202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28F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424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4AD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41F51"/>
    <w:rsid w:val="000D2D14"/>
    <w:rsid w:val="00141F51"/>
    <w:rsid w:val="002F72F6"/>
    <w:rsid w:val="004C14F8"/>
    <w:rsid w:val="00673262"/>
    <w:rsid w:val="00B77C53"/>
    <w:rsid w:val="00F8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F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F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51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0D2D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528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</dc:creator>
  <cp:lastModifiedBy>sochor</cp:lastModifiedBy>
  <cp:revision>6</cp:revision>
  <dcterms:created xsi:type="dcterms:W3CDTF">2021-03-25T23:14:00Z</dcterms:created>
  <dcterms:modified xsi:type="dcterms:W3CDTF">2021-03-26T22:24:00Z</dcterms:modified>
</cp:coreProperties>
</file>