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02B" w14:textId="77777777" w:rsidR="00FE44E8" w:rsidRPr="00FE44E8" w:rsidRDefault="00FE44E8" w:rsidP="00FE44E8">
      <w:pPr>
        <w:spacing w:after="0" w:line="240" w:lineRule="auto"/>
        <w:textAlignment w:val="baseline"/>
        <w:outlineLvl w:val="0"/>
        <w:rPr>
          <w:rFonts w:ascii="Times" w:eastAsia="Times New Roman" w:hAnsi="Times" w:cs="Times"/>
          <w:b/>
          <w:bCs/>
          <w:kern w:val="36"/>
          <w:sz w:val="48"/>
          <w:szCs w:val="48"/>
          <w:lang w:eastAsia="cs-CZ"/>
          <w14:ligatures w14:val="none"/>
        </w:rPr>
      </w:pPr>
      <w:proofErr w:type="spellStart"/>
      <w:r w:rsidRPr="00FE44E8">
        <w:rPr>
          <w:rFonts w:ascii="Times" w:eastAsia="Times New Roman" w:hAnsi="Times" w:cs="Times"/>
          <w:b/>
          <w:bCs/>
          <w:kern w:val="36"/>
          <w:sz w:val="48"/>
          <w:szCs w:val="48"/>
          <w:lang w:eastAsia="cs-CZ"/>
          <w14:ligatures w14:val="none"/>
        </w:rPr>
        <w:t>Miyazaki</w:t>
      </w:r>
      <w:proofErr w:type="spellEnd"/>
      <w:r w:rsidRPr="00FE44E8">
        <w:rPr>
          <w:rFonts w:ascii="Times" w:eastAsia="Times New Roman" w:hAnsi="Times" w:cs="Times"/>
          <w:b/>
          <w:bCs/>
          <w:kern w:val="36"/>
          <w:sz w:val="48"/>
          <w:szCs w:val="48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b/>
          <w:bCs/>
          <w:kern w:val="36"/>
          <w:sz w:val="48"/>
          <w:szCs w:val="48"/>
          <w:lang w:eastAsia="cs-CZ"/>
          <w14:ligatures w14:val="none"/>
        </w:rPr>
        <w:t>notre</w:t>
      </w:r>
      <w:proofErr w:type="spellEnd"/>
      <w:r w:rsidRPr="00FE44E8">
        <w:rPr>
          <w:rFonts w:ascii="Times" w:eastAsia="Times New Roman" w:hAnsi="Times" w:cs="Times"/>
          <w:b/>
          <w:bCs/>
          <w:kern w:val="36"/>
          <w:sz w:val="48"/>
          <w:szCs w:val="48"/>
          <w:lang w:eastAsia="cs-CZ"/>
          <w14:ligatures w14:val="none"/>
        </w:rPr>
        <w:t xml:space="preserve"> bon génie</w:t>
      </w:r>
    </w:p>
    <w:p w14:paraId="1AAF2CFF" w14:textId="77777777" w:rsidR="00FE44E8" w:rsidRPr="00FE44E8" w:rsidRDefault="00FE44E8" w:rsidP="00FE44E8">
      <w:pPr>
        <w:spacing w:before="100" w:beforeAutospacing="1" w:after="100" w:afterAutospacing="1" w:line="240" w:lineRule="auto"/>
        <w:textAlignment w:val="baseline"/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</w:pP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maître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nippon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livre, à 82 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ans</w:t>
      </w:r>
      <w:proofErr w:type="spellEnd"/>
      <w:proofErr w:type="gram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, «</w:t>
      </w:r>
      <w:proofErr w:type="gram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Garçon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et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Héron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 ».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Merveille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de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poésie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douzième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film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d’animation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du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réalisateur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aborde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deux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thèmes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qui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lui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sont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chers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l’initiation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 xml:space="preserve"> au monde et la </w:t>
      </w:r>
      <w:proofErr w:type="spellStart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transmission</w:t>
      </w:r>
      <w:proofErr w:type="spellEnd"/>
      <w:r w:rsidRPr="00FE44E8">
        <w:rPr>
          <w:rFonts w:ascii="Times" w:eastAsia="Times New Roman" w:hAnsi="Times" w:cs="Times"/>
          <w:kern w:val="0"/>
          <w:sz w:val="24"/>
          <w:szCs w:val="24"/>
          <w:lang w:eastAsia="cs-CZ"/>
          <w14:ligatures w14:val="none"/>
        </w:rPr>
        <w:t>.</w:t>
      </w:r>
    </w:p>
    <w:p w14:paraId="4D5DF15A" w14:textId="77777777" w:rsidR="00FE44E8" w:rsidRDefault="00FE44E8" w:rsidP="00FE44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FE44E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Publié</w:t>
      </w:r>
      <w:proofErr w:type="spellEnd"/>
      <w:r w:rsidRPr="00FE44E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le</w:t>
      </w:r>
      <w:proofErr w:type="spellEnd"/>
      <w:r w:rsidRPr="00FE44E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04/11/2023 à 06h55</w:t>
      </w:r>
    </w:p>
    <w:p w14:paraId="6C51AD2C" w14:textId="77777777" w:rsidR="00FE44E8" w:rsidRDefault="00FE44E8" w:rsidP="00FE44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260356E" w14:textId="4B755A95" w:rsidR="00FE44E8" w:rsidRDefault="00FE44E8" w:rsidP="00FE44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7020DED7" wp14:editId="483B35CF">
            <wp:extent cx="5760720" cy="2876800"/>
            <wp:effectExtent l="0" t="0" r="0" b="0"/>
            <wp:docPr id="31591022" name="Obrázek 6" descr="Obsah obrázku kreslené, Animace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1022" name="Obrázek 6" descr="Obsah obrázku kreslené, Animace, Kreslený fil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1B826" w14:textId="137DDD06" w:rsidR="00FE44E8" w:rsidRPr="00FE44E8" w:rsidRDefault="00FE44E8" w:rsidP="00FE44E8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2A303B"/>
          <w:kern w:val="0"/>
          <w:sz w:val="30"/>
          <w:szCs w:val="30"/>
          <w:lang w:eastAsia="cs-CZ"/>
          <w14:ligatures w14:val="none"/>
        </w:rPr>
      </w:pPr>
      <w:r w:rsidRPr="00FE44E8">
        <w:rPr>
          <w:rFonts w:ascii="Raleway" w:eastAsia="Times New Roman" w:hAnsi="Raleway" w:cs="Times New Roman"/>
          <w:noProof/>
          <w:color w:val="2A303B"/>
          <w:kern w:val="0"/>
          <w:sz w:val="30"/>
          <w:szCs w:val="30"/>
          <w:lang w:eastAsia="cs-CZ"/>
          <w14:ligatures w14:val="none"/>
        </w:rPr>
        <w:drawing>
          <wp:inline distT="0" distB="0" distL="0" distR="0" wp14:anchorId="59BC271C" wp14:editId="6731DAF9">
            <wp:extent cx="7620" cy="7620"/>
            <wp:effectExtent l="0" t="0" r="0" b="0"/>
            <wp:docPr id="21398027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5AA8" w14:textId="228C2895" w:rsidR="00FE44E8" w:rsidRPr="00FE44E8" w:rsidRDefault="00FE44E8" w:rsidP="00FE44E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</w:pPr>
      <w:r w:rsidRPr="00FE44E8">
        <w:rPr>
          <w:rFonts w:ascii="Times" w:eastAsia="Times New Roman" w:hAnsi="Times" w:cs="Times"/>
          <w:caps/>
          <w:color w:val="2A303B"/>
          <w:kern w:val="0"/>
          <w:sz w:val="84"/>
          <w:szCs w:val="84"/>
          <w:bdr w:val="none" w:sz="0" w:space="0" w:color="auto" w:frame="1"/>
          <w:lang w:eastAsia="cs-CZ"/>
          <w14:ligatures w14:val="none"/>
        </w:rPr>
        <w:t>O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n a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quitté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fldChar w:fldCharType="begin"/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instrText>HYPERLINK "https://www.lepoint.fr/tags/hayao-miyazaki"</w:instrTex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fldChar w:fldCharType="separate"/>
      </w:r>
      <w:r w:rsidRPr="00FE44E8">
        <w:rPr>
          <w:rFonts w:ascii="Times" w:eastAsia="Times New Roman" w:hAnsi="Times" w:cs="Times"/>
          <w:b/>
          <w:bCs/>
          <w:color w:val="000000"/>
          <w:kern w:val="0"/>
          <w:sz w:val="33"/>
          <w:szCs w:val="33"/>
          <w:u w:val="single"/>
          <w:bdr w:val="none" w:sz="0" w:space="0" w:color="auto" w:frame="1"/>
          <w:lang w:eastAsia="cs-CZ"/>
          <w14:ligatures w14:val="none"/>
        </w:rPr>
        <w:t>Hayao</w:t>
      </w:r>
      <w:proofErr w:type="spellEnd"/>
      <w:r w:rsidRPr="00FE44E8">
        <w:rPr>
          <w:rFonts w:ascii="Times" w:eastAsia="Times New Roman" w:hAnsi="Times" w:cs="Times"/>
          <w:b/>
          <w:bCs/>
          <w:color w:val="000000"/>
          <w:kern w:val="0"/>
          <w:sz w:val="33"/>
          <w:szCs w:val="33"/>
          <w:u w:val="single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b/>
          <w:bCs/>
          <w:color w:val="000000"/>
          <w:kern w:val="0"/>
          <w:sz w:val="33"/>
          <w:szCs w:val="33"/>
          <w:u w:val="single"/>
          <w:bdr w:val="none" w:sz="0" w:space="0" w:color="auto" w:frame="1"/>
          <w:lang w:eastAsia="cs-CZ"/>
          <w14:ligatures w14:val="none"/>
        </w:rPr>
        <w:t>Miyazaki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fldChar w:fldCharType="end"/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il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y a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dix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dans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les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studios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Ghibli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Tokyo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où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il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présentait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vent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se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lève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,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proofErr w:type="gram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son </w:t>
      </w:r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«</w:t>
      </w:r>
      <w:proofErr w:type="gram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ultime film »,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avouait-il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. La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faute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à ses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rhumatismes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aux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mains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et à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sa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mauvaise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vue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.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Pourtant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rien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n'était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moins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sûr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puisqu'il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annonçait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peu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plus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tard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proofErr w:type="gram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que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«</w:t>
      </w:r>
      <w:proofErr w:type="gram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penser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à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un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nouveau film 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[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lui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]</w:t>
      </w:r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prendrait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six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à sept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ans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».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Autant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dire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que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maître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nippon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proofErr w:type="gram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«</w:t>
      </w:r>
      <w:proofErr w:type="gram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sensei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»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âgé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aujourd'hui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82 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a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longtemps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entretenu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mystère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avant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livrer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Garçon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et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Héron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,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 son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douzième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film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d'animation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.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Avec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film-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somme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il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signe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petite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merveille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d'invention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graphique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illustrant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ses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dons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conteur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et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poète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. Ses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plans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la faune et de la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flore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sont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comme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tableaux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dont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les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formes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et les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couleurs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évoquent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Douanier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Rousseau et Monet.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cinéaste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 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Princesse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Mononoké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et de </w:t>
      </w:r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Mon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voisin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Totoro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nous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transporte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dans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univers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féerique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où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vit et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meurt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bestiaire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extraordinaire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.</w:t>
      </w:r>
    </w:p>
    <w:p w14:paraId="614FEF74" w14:textId="77777777" w:rsidR="00FE44E8" w:rsidRPr="00FE44E8" w:rsidRDefault="00FE44E8" w:rsidP="00FE44E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</w:pPr>
      <w:r w:rsidRPr="00FE44E8">
        <w:rPr>
          <w:rFonts w:ascii="Times" w:eastAsia="Times New Roman" w:hAnsi="Times" w:cs="Times"/>
          <w:b/>
          <w:b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lastRenderedPageBreak/>
        <w:t xml:space="preserve">Univers </w:t>
      </w:r>
      <w:proofErr w:type="spellStart"/>
      <w:r w:rsidRPr="00FE44E8">
        <w:rPr>
          <w:rFonts w:ascii="Times" w:eastAsia="Times New Roman" w:hAnsi="Times" w:cs="Times"/>
          <w:b/>
          <w:b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parallèles</w:t>
      </w:r>
      <w:proofErr w:type="spellEnd"/>
      <w:r w:rsidRPr="00FE44E8">
        <w:rPr>
          <w:rFonts w:ascii="Times" w:eastAsia="Times New Roman" w:hAnsi="Times" w:cs="Times"/>
          <w:b/>
          <w:b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. 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Tout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commence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par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bombardement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pendant la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guerre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du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Pacifique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et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tableau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saisissant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l'incendie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d'un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hôpital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dans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lequel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disparaît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la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mère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Mahito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, 11 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. On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retrouve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avec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son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père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dans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manoir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à la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campagne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quand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celui-ci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s'est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remarié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.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L'enfant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s'ennuie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revoit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sa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mère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dans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ses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rêves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et se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voit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nargué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par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majestueux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héron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cendré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qui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niche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dans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tour… Tel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lapin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d'</w:t>
      </w:r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Alice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au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pays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des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merveilles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,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héron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doué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parole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va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servir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guide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à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Mahito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pour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franchir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portes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qui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s'ouvrent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sur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des univers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parallèles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où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les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notions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temps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vie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et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mort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sont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aléatoires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.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Il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s'agit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 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l'initier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au monde et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lui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transmettre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savoir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deux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thèmes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clés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dans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l'œuvre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Miyazaki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qui fait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apparaître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grand-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oncle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qui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jongle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avec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pierres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géométriques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dont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l'assemblage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peut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faire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du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gram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monde </w:t>
      </w:r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«</w:t>
      </w:r>
      <w:proofErr w:type="gram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une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abomination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ou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une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merveille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»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.</w:t>
      </w:r>
    </w:p>
    <w:p w14:paraId="52A21B31" w14:textId="77777777" w:rsidR="00FE44E8" w:rsidRPr="00FE44E8" w:rsidRDefault="00FE44E8" w:rsidP="00FE44E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</w:pP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En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adaptant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librement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roman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d'apprentissage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John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Connolly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, 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Livre des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choses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perdues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,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cinéaste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philosophe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signe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à la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fois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récit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d'aventures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et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conte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initiatique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toute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beauté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.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respect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la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nature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l'animisme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shinto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[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chaque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objet a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une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âme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, NDLR]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 et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l'image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la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mère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sont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au centre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l'histoire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.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Il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y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ajoute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des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interrogations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sur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notre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époque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et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sur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la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guerre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qui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nous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menace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comme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dans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vent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se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lève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,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inspiré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du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poème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Paul Valéry, qui </w:t>
      </w:r>
      <w:proofErr w:type="spellStart"/>
      <w:proofErr w:type="gram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écrit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:</w:t>
      </w:r>
      <w:proofErr w:type="gram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« 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Il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faut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tenter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de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vivre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! </w:t>
      </w:r>
      <w:proofErr w:type="gram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»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Une</w:t>
      </w:r>
      <w:proofErr w:type="spellEnd"/>
      <w:proofErr w:type="gram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invite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en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forme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 de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prière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 §</w:t>
      </w:r>
      <w:r w:rsidRPr="00FE44E8">
        <w:rPr>
          <w:rFonts w:ascii="Times" w:eastAsia="Times New Roman" w:hAnsi="Times" w:cs="Times"/>
          <w:b/>
          <w:b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</w:t>
      </w:r>
    </w:p>
    <w:p w14:paraId="2FFA0FC7" w14:textId="77777777" w:rsidR="00FE44E8" w:rsidRPr="00FE44E8" w:rsidRDefault="00FE44E8" w:rsidP="00FE44E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</w:pPr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« 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Garçon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et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le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Héron</w:t>
      </w:r>
      <w:proofErr w:type="spellEnd"/>
      <w:r w:rsidRPr="00FE44E8">
        <w:rPr>
          <w:rFonts w:ascii="Times" w:eastAsia="Times New Roman" w:hAnsi="Times" w:cs="Times"/>
          <w:i/>
          <w:iCs/>
          <w:color w:val="2A303B"/>
          <w:kern w:val="0"/>
          <w:sz w:val="33"/>
          <w:szCs w:val="33"/>
          <w:bdr w:val="none" w:sz="0" w:space="0" w:color="auto" w:frame="1"/>
          <w:lang w:eastAsia="cs-CZ"/>
          <w14:ligatures w14:val="none"/>
        </w:rPr>
        <w:t> », </w:t>
      </w:r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 xml:space="preserve">en </w:t>
      </w:r>
      <w:proofErr w:type="spellStart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salle</w:t>
      </w:r>
      <w:proofErr w:type="spellEnd"/>
      <w:r w:rsidRPr="00FE44E8">
        <w:rPr>
          <w:rFonts w:ascii="Times" w:eastAsia="Times New Roman" w:hAnsi="Times" w:cs="Times"/>
          <w:color w:val="2A303B"/>
          <w:kern w:val="0"/>
          <w:sz w:val="30"/>
          <w:szCs w:val="30"/>
          <w:lang w:eastAsia="cs-CZ"/>
          <w14:ligatures w14:val="none"/>
        </w:rPr>
        <w:t>.</w:t>
      </w:r>
    </w:p>
    <w:p w14:paraId="7BC4A6CD" w14:textId="546E1CE5" w:rsidR="005961B7" w:rsidRDefault="00FE44E8">
      <w:hyperlink r:id="rId7" w:history="1">
        <w:r w:rsidRPr="004D767D">
          <w:rPr>
            <w:rStyle w:val="Hypertextovodkaz"/>
          </w:rPr>
          <w:t>https://www.lepoint.fr/culture/miyazaki-notre-bon-genie-04-11-2023-2541878_3.php</w:t>
        </w:r>
      </w:hyperlink>
    </w:p>
    <w:p w14:paraId="3D392B7D" w14:textId="77777777" w:rsidR="00FE44E8" w:rsidRDefault="00FE44E8"/>
    <w:sectPr w:rsidR="00FE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5BF"/>
    <w:multiLevelType w:val="multilevel"/>
    <w:tmpl w:val="8ABC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22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E8"/>
    <w:rsid w:val="005961B7"/>
    <w:rsid w:val="00F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E452"/>
  <w15:chartTrackingRefBased/>
  <w15:docId w15:val="{2816ECDF-FE4A-4602-B71F-A131B146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4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4E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chapo">
    <w:name w:val="chapo"/>
    <w:basedOn w:val="Normln"/>
    <w:rsid w:val="00FE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reading-time">
    <w:name w:val="reading-time"/>
    <w:basedOn w:val="Normln"/>
    <w:rsid w:val="00FE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add-fav">
    <w:name w:val="add-fav"/>
    <w:basedOn w:val="Normln"/>
    <w:rsid w:val="00FE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E44E8"/>
    <w:rPr>
      <w:color w:val="0000FF"/>
      <w:u w:val="single"/>
    </w:rPr>
  </w:style>
  <w:style w:type="character" w:customStyle="1" w:styleId="txt">
    <w:name w:val="txt"/>
    <w:basedOn w:val="Standardnpsmoodstavce"/>
    <w:rsid w:val="00FE44E8"/>
  </w:style>
  <w:style w:type="paragraph" w:customStyle="1" w:styleId="googlenews">
    <w:name w:val="googlenews"/>
    <w:basedOn w:val="Normln"/>
    <w:rsid w:val="00FE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comment">
    <w:name w:val="comment"/>
    <w:basedOn w:val="Normln"/>
    <w:rsid w:val="00FE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hare">
    <w:name w:val="share"/>
    <w:basedOn w:val="Normln"/>
    <w:rsid w:val="00FE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E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dflt-txtlettrine">
    <w:name w:val="dflt-txt__lettrine"/>
    <w:basedOn w:val="Standardnpsmoodstavce"/>
    <w:rsid w:val="00FE44E8"/>
  </w:style>
  <w:style w:type="character" w:styleId="Zdraznn">
    <w:name w:val="Emphasis"/>
    <w:basedOn w:val="Standardnpsmoodstavce"/>
    <w:uiPriority w:val="20"/>
    <w:qFormat/>
    <w:rsid w:val="00FE44E8"/>
    <w:rPr>
      <w:i/>
      <w:iCs/>
    </w:rPr>
  </w:style>
  <w:style w:type="character" w:customStyle="1" w:styleId="h2">
    <w:name w:val="h2"/>
    <w:basedOn w:val="Standardnpsmoodstavce"/>
    <w:rsid w:val="00FE44E8"/>
  </w:style>
  <w:style w:type="paragraph" w:customStyle="1" w:styleId="period">
    <w:name w:val="period"/>
    <w:basedOn w:val="Normln"/>
    <w:rsid w:val="00FE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E44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E44E8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E44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E44E8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capsule">
    <w:name w:val="capsule"/>
    <w:basedOn w:val="Standardnpsmoodstavce"/>
    <w:rsid w:val="00FE44E8"/>
  </w:style>
  <w:style w:type="character" w:customStyle="1" w:styleId="phylactery">
    <w:name w:val="phylactery"/>
    <w:basedOn w:val="Standardnpsmoodstavce"/>
    <w:rsid w:val="00FE44E8"/>
  </w:style>
  <w:style w:type="character" w:styleId="Siln">
    <w:name w:val="Strong"/>
    <w:basedOn w:val="Standardnpsmoodstavce"/>
    <w:uiPriority w:val="22"/>
    <w:qFormat/>
    <w:rsid w:val="00FE44E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E4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6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1824">
                  <w:marLeft w:val="0"/>
                  <w:marRight w:val="0"/>
                  <w:marTop w:val="555"/>
                  <w:marBottom w:val="450"/>
                  <w:divBdr>
                    <w:top w:val="single" w:sz="6" w:space="19" w:color="B9B2B2"/>
                    <w:left w:val="single" w:sz="6" w:space="19" w:color="B9B2B2"/>
                    <w:bottom w:val="single" w:sz="6" w:space="19" w:color="B9B2B2"/>
                    <w:right w:val="single" w:sz="6" w:space="19" w:color="B9B2B2"/>
                  </w:divBdr>
                  <w:divsChild>
                    <w:div w:id="20900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189167">
              <w:marLeft w:val="0"/>
              <w:marRight w:val="0"/>
              <w:marTop w:val="9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point.fr/culture/miyazaki-notre-bon-genie-04-11-2023-2541878_3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2023-11-04T19:56:00Z</dcterms:created>
  <dcterms:modified xsi:type="dcterms:W3CDTF">2023-11-04T20:03:00Z</dcterms:modified>
</cp:coreProperties>
</file>