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8"/>
          <w:szCs w:val="28"/>
        </w:rPr>
      </w:pPr>
      <w:r w:rsidDel="00000000" w:rsidR="00000000" w:rsidRPr="00000000">
        <w:rPr>
          <w:b w:val="1"/>
          <w:color w:val="0000ff"/>
          <w:sz w:val="28"/>
          <w:szCs w:val="28"/>
          <w:rtl w:val="0"/>
        </w:rPr>
        <w:t xml:space="preserve">Task specifications: Vocabulary collection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b w:val="1"/>
          <w:color w:val="0000ff"/>
        </w:rPr>
      </w:pPr>
      <w:r w:rsidDel="00000000" w:rsidR="00000000" w:rsidRPr="00000000">
        <w:rPr>
          <w:b w:val="1"/>
          <w:color w:val="0000ff"/>
          <w:rtl w:val="0"/>
        </w:rPr>
        <w:t xml:space="preserve">Background</w:t>
      </w:r>
    </w:p>
    <w:p w:rsidR="00000000" w:rsidDel="00000000" w:rsidP="00000000" w:rsidRDefault="00000000" w:rsidRPr="00000000" w14:paraId="00000004">
      <w:pPr>
        <w:jc w:val="both"/>
        <w:rPr/>
      </w:pPr>
      <w:r w:rsidDel="00000000" w:rsidR="00000000" w:rsidRPr="00000000">
        <w:rPr>
          <w:rtl w:val="0"/>
        </w:rPr>
        <w:t xml:space="preserve">During your studies and in your future career, you'll likely need to consult sources in English. Expanding your discipline-specific and academic vocabulary will not only allow you to deeply engage with academic texts and interact with professionals in the field, but also, and more importantly, cater to the unique needs of your clients or students.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In this task, you're encouraged to actively build your SE vocabulary by collecting expressions and terms related to the key topics of our course: inclusive education, vision impairment, hearing impairment, speech and language challenges, and physical disability.</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color w:val="0000ff"/>
          <w:rtl w:val="0"/>
        </w:rPr>
        <w:t xml:space="preserve">Instructions</w:t>
      </w: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rtl w:val="0"/>
        </w:rPr>
        <w:t xml:space="preserve">Collect </w:t>
      </w:r>
      <w:r w:rsidDel="00000000" w:rsidR="00000000" w:rsidRPr="00000000">
        <w:rPr>
          <w:b w:val="1"/>
          <w:rtl w:val="0"/>
        </w:rPr>
        <w:t xml:space="preserve">60 discipline-specific and academic expressions</w:t>
      </w:r>
      <w:r w:rsidDel="00000000" w:rsidR="00000000" w:rsidRPr="00000000">
        <w:rPr>
          <w:rtl w:val="0"/>
        </w:rPr>
        <w:t xml:space="preserve"> related to the outlined topics and from the resources used in your tasks. The goal isn't just to list these terms, but to understand them, thus, each term must be accompanied by a definition or explanation in English. While translations can be helpful, they alone won't suffice. For a richer understanding, add example sentences demonstrating how each term can be used in context. Additionally, </w:t>
      </w:r>
      <w:r w:rsidDel="00000000" w:rsidR="00000000" w:rsidRPr="00000000">
        <w:rPr>
          <w:b w:val="1"/>
          <w:rtl w:val="0"/>
        </w:rPr>
        <w:t xml:space="preserve">number each expression for easier navigation</w:t>
      </w:r>
      <w:r w:rsidDel="00000000" w:rsidR="00000000" w:rsidRPr="00000000">
        <w:rPr>
          <w:rtl w:val="0"/>
        </w:rPr>
        <w:t xml:space="preserve">.</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You're free to choose how you want to store or represent this vocabulary—be it through Quizlet sets, a glossary, a picture dictionary, mind maps, or any other format that you find beneficial. Make sure that you number each entry for easier navigation.</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color w:val="0000ff"/>
        </w:rPr>
      </w:pPr>
      <w:r w:rsidDel="00000000" w:rsidR="00000000" w:rsidRPr="00000000">
        <w:rPr>
          <w:b w:val="1"/>
          <w:color w:val="0000ff"/>
          <w:rtl w:val="0"/>
        </w:rPr>
        <w:t xml:space="preserve">Submission</w:t>
      </w:r>
    </w:p>
    <w:p w:rsidR="00000000" w:rsidDel="00000000" w:rsidP="00000000" w:rsidRDefault="00000000" w:rsidRPr="00000000" w14:paraId="0000000E">
      <w:pPr>
        <w:jc w:val="both"/>
        <w:rPr/>
      </w:pPr>
      <w:r w:rsidDel="00000000" w:rsidR="00000000" w:rsidRPr="00000000">
        <w:rPr>
          <w:rtl w:val="0"/>
        </w:rPr>
        <w:t xml:space="preserve">Submit your collection into the designated folder in the Interactive Syllabus by </w:t>
      </w:r>
      <w:r w:rsidDel="00000000" w:rsidR="00000000" w:rsidRPr="00000000">
        <w:rPr>
          <w:b w:val="1"/>
          <w:color w:val="0000ff"/>
          <w:rtl w:val="0"/>
        </w:rPr>
        <w:t xml:space="preserve">December 17</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spacing w:line="276" w:lineRule="auto"/>
        <w:jc w:val="both"/>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7695"/>
        <w:tblGridChange w:id="0">
          <w:tblGrid>
            <w:gridCol w:w="1305"/>
            <w:gridCol w:w="76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line="276" w:lineRule="auto"/>
              <w:jc w:val="both"/>
              <w:rPr/>
            </w:pPr>
            <w:r w:rsidDel="00000000" w:rsidR="00000000" w:rsidRPr="00000000">
              <w:rPr>
                <w:rtl w:val="0"/>
              </w:rPr>
              <w:t xml:space="preserve">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76" w:lineRule="auto"/>
              <w:jc w:val="both"/>
              <w:rPr/>
            </w:pPr>
            <w:r w:rsidDel="00000000" w:rsidR="00000000" w:rsidRPr="00000000">
              <w:rPr>
                <w:rtl w:val="0"/>
              </w:rPr>
              <w:t xml:space="preserve">Comprehensive collection of specialist terminology from all course topics and tasks. Each term is supported by clear, accurate English explanations or definitions, and enriched with example sentences taken from class materials and selected specialised texts and videos.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line="276" w:lineRule="auto"/>
              <w:jc w:val="both"/>
              <w:rPr/>
            </w:pPr>
            <w:r w:rsidDel="00000000" w:rsidR="00000000" w:rsidRPr="00000000">
              <w:rPr>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76" w:lineRule="auto"/>
              <w:jc w:val="both"/>
              <w:rPr/>
            </w:pPr>
            <w:r w:rsidDel="00000000" w:rsidR="00000000" w:rsidRPr="00000000">
              <w:rPr>
                <w:rtl w:val="0"/>
              </w:rPr>
              <w:t xml:space="preserve">Solid collection of terms, covering most topics, with mostly accurate explanations or definitions in English. Some minor gaps or inaccuracies may be present. More than a half, but not all expressions are supplemented with example sentences taken from class materials and selected specialised texts and videos.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76" w:lineRule="auto"/>
              <w:jc w:val="both"/>
              <w:rPr/>
            </w:pPr>
            <w:r w:rsidDel="00000000" w:rsidR="00000000" w:rsidRPr="00000000">
              <w:rPr>
                <w:rtl w:val="0"/>
              </w:rPr>
              <w:t xml:space="preserve">4-3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76" w:lineRule="auto"/>
              <w:jc w:val="both"/>
              <w:rPr/>
            </w:pPr>
            <w:r w:rsidDel="00000000" w:rsidR="00000000" w:rsidRPr="00000000">
              <w:rPr>
                <w:rtl w:val="0"/>
              </w:rPr>
              <w:t xml:space="preserve">Moderate collection, covering some but not all topics. Definitions or explanations might lack depth or clarity, with noticeable gaps or inaccuracies. Less than a half of expressions include example sentences from class materials and specialised chosen texts and videos.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line="276" w:lineRule="auto"/>
              <w:jc w:val="both"/>
              <w:rPr/>
            </w:pPr>
            <w:r w:rsidDel="00000000" w:rsidR="00000000" w:rsidRPr="00000000">
              <w:rPr>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276" w:lineRule="auto"/>
              <w:jc w:val="both"/>
              <w:rPr/>
            </w:pPr>
            <w:r w:rsidDel="00000000" w:rsidR="00000000" w:rsidRPr="00000000">
              <w:rPr>
                <w:rtl w:val="0"/>
              </w:rPr>
              <w:t xml:space="preserve">Limited collection with significant omissions in terms of topics or task-related sources. Explanations or definitions are often vague, incomplete, or inaccurate. Example sentences are frequently missing and, when present, are not clearly drawn from class materials and chosen specialised texts and videos.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276"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line="276" w:lineRule="auto"/>
              <w:jc w:val="both"/>
              <w:rPr/>
            </w:pPr>
            <w:r w:rsidDel="00000000" w:rsidR="00000000" w:rsidRPr="00000000">
              <w:rPr>
                <w:rtl w:val="0"/>
              </w:rPr>
              <w:t xml:space="preserve">Fails to submit the collection or what's submitted lacks relevance and accuracy to be of any instructional value.</w:t>
            </w:r>
          </w:p>
        </w:tc>
      </w:tr>
    </w:tbl>
    <w:p w:rsidR="00000000" w:rsidDel="00000000" w:rsidP="00000000" w:rsidRDefault="00000000" w:rsidRPr="00000000" w14:paraId="0000001D">
      <w:pPr>
        <w:spacing w:line="276" w:lineRule="auto"/>
        <w:jc w:val="both"/>
        <w:rPr/>
      </w:pPr>
      <w:r w:rsidDel="00000000" w:rsidR="00000000" w:rsidRPr="00000000">
        <w:rPr>
          <w:rtl w:val="0"/>
        </w:rPr>
      </w:r>
    </w:p>
    <w:p w:rsidR="00000000" w:rsidDel="00000000" w:rsidP="00000000" w:rsidRDefault="00000000" w:rsidRPr="00000000" w14:paraId="0000001E">
      <w:pPr>
        <w:spacing w:line="276" w:lineRule="auto"/>
        <w:jc w:val="both"/>
        <w:rPr>
          <w:b w:val="1"/>
          <w:color w:val="0000ff"/>
        </w:rPr>
      </w:pPr>
      <w:r w:rsidDel="00000000" w:rsidR="00000000" w:rsidRPr="00000000">
        <w:rPr>
          <w:rtl w:val="0"/>
        </w:rPr>
        <w:t xml:space="preserve">Please make sure that you </w:t>
      </w:r>
      <w:r w:rsidDel="00000000" w:rsidR="00000000" w:rsidRPr="00000000">
        <w:rPr>
          <w:b w:val="1"/>
          <w:color w:val="0000ff"/>
          <w:rtl w:val="0"/>
        </w:rPr>
        <w:t xml:space="preserve">number each expression from 1 to 60</w:t>
      </w:r>
      <w:r w:rsidDel="00000000" w:rsidR="00000000" w:rsidRPr="00000000">
        <w:rPr>
          <w:rtl w:val="0"/>
        </w:rPr>
        <w:t xml:space="preserve"> to facilitate easy navigation. This is not intended to add stress, but to assist in making the review process smoother and more efficient for everyone involved. Unnumbered or inconsistently numbered collections may result in a deduction of 2-5 points, as it significantly extends the time required for review. Thank you for your understanding and cooperation.</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