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4E2D" w14:textId="77777777" w:rsidR="00954272" w:rsidRPr="00954272" w:rsidRDefault="00954272" w:rsidP="00954272">
      <w:pPr>
        <w:tabs>
          <w:tab w:val="left" w:pos="567"/>
        </w:tabs>
        <w:spacing w:before="240" w:after="0" w:line="240" w:lineRule="auto"/>
        <w:ind w:left="567" w:hanging="567"/>
        <w:outlineLvl w:val="1"/>
        <w:rPr>
          <w:rFonts w:ascii="Times New Roman" w:eastAsia="Times New Roman" w:hAnsi="Times New Roman" w:cs="Times New Roman"/>
          <w:b/>
          <w:sz w:val="32"/>
          <w:szCs w:val="32"/>
          <w:lang w:eastAsia="cs-CZ"/>
        </w:rPr>
      </w:pPr>
      <w:bookmarkStart w:id="0" w:name="_Toc62994179"/>
      <w:r w:rsidRPr="00954272">
        <w:rPr>
          <w:rFonts w:ascii="Times New Roman" w:eastAsia="Times New Roman" w:hAnsi="Times New Roman" w:cs="Times New Roman"/>
          <w:b/>
          <w:sz w:val="32"/>
          <w:szCs w:val="32"/>
          <w:lang w:eastAsia="cs-CZ"/>
        </w:rPr>
        <w:t>Klíčové kompetence</w:t>
      </w:r>
      <w:bookmarkEnd w:id="0"/>
    </w:p>
    <w:p w14:paraId="3304E918"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5E6F01E7"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63A8DFFF"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Klíčové kompetence nestojí vedle sebe izolovaně, různými způsoby se prolínají, jsou multifunkční, mají </w:t>
      </w:r>
      <w:proofErr w:type="spellStart"/>
      <w:r w:rsidRPr="00954272">
        <w:rPr>
          <w:rFonts w:ascii="Times New Roman" w:eastAsia="Times New Roman" w:hAnsi="Times New Roman" w:cs="Times New Roman"/>
          <w:lang w:eastAsia="cs-CZ"/>
        </w:rPr>
        <w:t>nadpředmětovou</w:t>
      </w:r>
      <w:proofErr w:type="spellEnd"/>
      <w:r w:rsidRPr="00954272">
        <w:rPr>
          <w:rFonts w:ascii="Times New Roman" w:eastAsia="Times New Roman" w:hAnsi="Times New Roman" w:cs="Times New Roman"/>
          <w:lang w:eastAsia="cs-CZ"/>
        </w:rPr>
        <w:t xml:space="preserve"> podobu a lze je získat vždy jen jako výsledek celkového procesu vzdělávání. </w:t>
      </w:r>
      <w:r w:rsidRPr="00954272">
        <w:rPr>
          <w:rFonts w:ascii="Times New Roman" w:eastAsia="Times New Roman" w:hAnsi="Times New Roman" w:cs="Times New Roman"/>
          <w:b/>
          <w:bCs/>
          <w:lang w:eastAsia="cs-CZ"/>
        </w:rPr>
        <w:t>Proto k jejich utváření a rozvíjení musí směřovat a přispívat veškerý vzdělávací obsah i aktivity a činnosti, které ve škole probíhají</w:t>
      </w:r>
      <w:r w:rsidRPr="00954272">
        <w:rPr>
          <w:rFonts w:ascii="Times New Roman" w:eastAsia="Times New Roman" w:hAnsi="Times New Roman" w:cs="Times New Roman"/>
          <w:lang w:eastAsia="cs-CZ"/>
        </w:rPr>
        <w:t>.</w:t>
      </w:r>
    </w:p>
    <w:p w14:paraId="60A614BF"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5E76DECB" w14:textId="77777777" w:rsidR="00954272" w:rsidRPr="00954272" w:rsidRDefault="00954272" w:rsidP="00954272">
      <w:pPr>
        <w:spacing w:before="120" w:after="600" w:line="240" w:lineRule="auto"/>
        <w:ind w:firstLine="567"/>
        <w:jc w:val="both"/>
        <w:rPr>
          <w:rFonts w:ascii="Times New Roman" w:eastAsia="Times New Roman" w:hAnsi="Times New Roman" w:cs="Times New Roman"/>
          <w:b/>
          <w:bCs/>
          <w:lang w:eastAsia="cs-CZ"/>
        </w:rPr>
      </w:pPr>
      <w:r w:rsidRPr="00954272">
        <w:rPr>
          <w:rFonts w:ascii="Times New Roman" w:eastAsia="Times New Roman" w:hAnsi="Times New Roman" w:cs="Times New Roman"/>
          <w:lang w:eastAsia="cs-CZ"/>
        </w:rPr>
        <w:t xml:space="preserve">V etapě základního vzdělávání jsou za klíčové považovány: </w:t>
      </w:r>
      <w:r w:rsidRPr="00954272">
        <w:rPr>
          <w:rFonts w:ascii="Times New Roman" w:eastAsia="Times New Roman" w:hAnsi="Times New Roman" w:cs="Times New Roman"/>
          <w:b/>
          <w:bCs/>
          <w:lang w:eastAsia="cs-CZ"/>
        </w:rPr>
        <w:t>kompetence k učení; kompetence k řešení problémů; kompetence komunikativní; kompetence sociální a personální; kompetence občanské; kompetence pracovní; kompetence digitální.</w:t>
      </w:r>
    </w:p>
    <w:p w14:paraId="114DF1CF" w14:textId="77777777" w:rsidR="00954272" w:rsidRPr="00954272" w:rsidRDefault="00954272" w:rsidP="00954272">
      <w:pPr>
        <w:spacing w:after="0" w:line="240" w:lineRule="auto"/>
        <w:rPr>
          <w:rFonts w:ascii="Times New Roman" w:eastAsia="Times New Roman" w:hAnsi="Times New Roman" w:cs="Times New Roman"/>
          <w:lang w:eastAsia="cs-CZ"/>
        </w:rPr>
      </w:pP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59264" behindDoc="1" locked="1" layoutInCell="1" allowOverlap="1" wp14:anchorId="7423279B" wp14:editId="03B36D9B">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86809" id="Rectangle 25" o:spid="_x0000_s1026" style="position:absolute;margin-left:0;margin-top:.75pt;width:162pt;height: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7642406D" w14:textId="77777777" w:rsidR="00954272" w:rsidRPr="00954272" w:rsidRDefault="00954272" w:rsidP="00954272">
      <w:pPr>
        <w:spacing w:before="60" w:line="256" w:lineRule="auto"/>
        <w:jc w:val="center"/>
        <w:rPr>
          <w:rFonts w:ascii="Times New Roman" w:hAnsi="Times New Roman" w:cs="Times New Roman"/>
          <w:b/>
          <w:bCs/>
          <w:sz w:val="28"/>
          <w:szCs w:val="28"/>
        </w:rPr>
      </w:pPr>
      <w:r w:rsidRPr="00954272">
        <w:rPr>
          <w:rFonts w:ascii="Times New Roman" w:hAnsi="Times New Roman" w:cs="Times New Roman"/>
          <w:b/>
          <w:bCs/>
          <w:sz w:val="28"/>
          <w:szCs w:val="28"/>
        </w:rPr>
        <w:t>Kompetence k učení</w:t>
      </w:r>
    </w:p>
    <w:p w14:paraId="66AE9892" w14:textId="77777777" w:rsidR="00954272" w:rsidRPr="00954272" w:rsidRDefault="00954272" w:rsidP="00954272">
      <w:pPr>
        <w:spacing w:after="240" w:line="240" w:lineRule="auto"/>
        <w:rPr>
          <w:rFonts w:ascii="Times New Roman" w:eastAsia="Times New Roman" w:hAnsi="Times New Roman" w:cs="Times New Roman"/>
          <w:lang w:eastAsia="cs-CZ"/>
        </w:rPr>
      </w:pPr>
    </w:p>
    <w:p w14:paraId="5320065C"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0EA0D1CA"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vybírá a využívá pro efektivní učení vhodné způsoby, metody a strategie, plánuje, organizuje a řídí vlastní učení, projevuje ochotu věnovat se dalšímu studiu a celoživotnímu učení</w:t>
      </w:r>
    </w:p>
    <w:p w14:paraId="4A9CE81B"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vyhledává a třídí informace a na základě jejich pochopení, propojení a systematizace je efektivně využívá v procesu učení, tvůrčích činnostech a praktickém životě</w:t>
      </w:r>
    </w:p>
    <w:p w14:paraId="008136B8"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781CDB53"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samostatně pozoruje a experimentuje, získané výsledky porovnává, kriticky posuzuje a vyvozuje z nich závěry pro využití v budoucnosti</w:t>
      </w:r>
    </w:p>
    <w:p w14:paraId="0616FEFC"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noProof/>
          <w:lang w:eastAsia="cs-CZ"/>
        </w:rPr>
      </w:pPr>
      <w:r w:rsidRPr="00954272">
        <w:rPr>
          <w:rFonts w:ascii="Times New Roman" w:eastAsia="Times New Roman" w:hAnsi="Times New Roman" w:cs="Times New Roman"/>
          <w:lang w:eastAsia="cs-CZ"/>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3B40C3EB" w14:textId="77777777" w:rsidR="00954272" w:rsidRPr="00954272" w:rsidRDefault="00954272" w:rsidP="00954272">
      <w:pPr>
        <w:spacing w:after="0" w:line="240" w:lineRule="auto"/>
        <w:rPr>
          <w:rFonts w:ascii="Times New Roman" w:eastAsia="Times New Roman" w:hAnsi="Times New Roman" w:cs="Times New Roman"/>
          <w:noProof/>
          <w:lang w:eastAsia="cs-CZ"/>
        </w:rPr>
      </w:pPr>
    </w:p>
    <w:p w14:paraId="3EA8D4F4" w14:textId="77777777" w:rsidR="00954272" w:rsidRPr="00954272" w:rsidRDefault="00954272" w:rsidP="00954272">
      <w:pPr>
        <w:spacing w:after="0" w:line="240" w:lineRule="auto"/>
        <w:rPr>
          <w:rFonts w:ascii="Times New Roman" w:eastAsia="Times New Roman" w:hAnsi="Times New Roman" w:cs="Times New Roman"/>
          <w:noProof/>
          <w:lang w:eastAsia="cs-CZ"/>
        </w:rPr>
      </w:pPr>
    </w:p>
    <w:p w14:paraId="6DFE7286" w14:textId="77777777" w:rsidR="00954272" w:rsidRPr="00954272" w:rsidRDefault="00954272" w:rsidP="00954272">
      <w:pPr>
        <w:keepNext/>
        <w:keepLines/>
        <w:spacing w:before="480" w:line="257" w:lineRule="auto"/>
        <w:rPr>
          <w:rFonts w:ascii="Times New Roman" w:hAnsi="Times New Roman" w:cs="Times New Roman"/>
          <w:b/>
          <w:bCs/>
          <w:sz w:val="28"/>
          <w:szCs w:val="28"/>
        </w:rPr>
      </w:pPr>
    </w:p>
    <w:p w14:paraId="557C6F5F" w14:textId="77777777" w:rsidR="00954272" w:rsidRPr="00954272" w:rsidRDefault="00954272" w:rsidP="00954272">
      <w:pPr>
        <w:keepNext/>
        <w:keepLines/>
        <w:spacing w:before="480" w:line="257" w:lineRule="auto"/>
        <w:jc w:val="center"/>
        <w:rPr>
          <w:rFonts w:ascii="Times New Roman" w:hAnsi="Times New Roman" w:cs="Times New Roman"/>
          <w:b/>
          <w:bCs/>
          <w:sz w:val="28"/>
          <w:szCs w:val="28"/>
        </w:rPr>
      </w:pPr>
      <w:r w:rsidRPr="00954272">
        <w:rPr>
          <w:rFonts w:ascii="Times New Roman" w:hAnsi="Times New Roman" w:cs="Times New Roman"/>
          <w:b/>
          <w:bCs/>
          <w:noProof/>
          <w:sz w:val="28"/>
          <w:lang w:eastAsia="cs-CZ"/>
        </w:rPr>
        <mc:AlternateContent>
          <mc:Choice Requires="wps">
            <w:drawing>
              <wp:anchor distT="0" distB="0" distL="114300" distR="114300" simplePos="0" relativeHeight="251660288" behindDoc="1" locked="1" layoutInCell="1" allowOverlap="1" wp14:anchorId="1580965F" wp14:editId="011583CC">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83A66" id="Rectangle 26" o:spid="_x0000_s1026" style="position:absolute;margin-left:104.9pt;margin-top:-.6pt;width:243pt;height:4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954272">
        <w:rPr>
          <w:rFonts w:ascii="Times New Roman" w:hAnsi="Times New Roman" w:cs="Times New Roman"/>
          <w:b/>
          <w:bCs/>
          <w:sz w:val="28"/>
          <w:szCs w:val="28"/>
        </w:rPr>
        <w:t>Kompetence k řešení problémů</w:t>
      </w:r>
    </w:p>
    <w:p w14:paraId="21C9708C" w14:textId="77777777" w:rsidR="00954272" w:rsidRPr="00954272" w:rsidRDefault="00954272" w:rsidP="00954272">
      <w:pPr>
        <w:keepNext/>
        <w:keepLines/>
        <w:spacing w:after="480" w:line="240" w:lineRule="auto"/>
        <w:rPr>
          <w:rFonts w:ascii="Times New Roman" w:eastAsia="Times New Roman" w:hAnsi="Times New Roman" w:cs="Times New Roman"/>
          <w:lang w:eastAsia="cs-CZ"/>
        </w:rPr>
      </w:pPr>
    </w:p>
    <w:p w14:paraId="47EF66F4" w14:textId="77777777" w:rsidR="00954272" w:rsidRPr="00954272" w:rsidRDefault="00954272" w:rsidP="00954272">
      <w:pPr>
        <w:keepNext/>
        <w:keepLines/>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464D6C0B" w14:textId="77777777" w:rsidR="00954272" w:rsidRPr="00954272" w:rsidRDefault="00954272" w:rsidP="00954272">
      <w:pPr>
        <w:keepNext/>
        <w:keepLines/>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2336ADD3" w14:textId="77777777" w:rsidR="00954272" w:rsidRPr="00954272" w:rsidRDefault="00954272" w:rsidP="00954272">
      <w:pPr>
        <w:keepNext/>
        <w:keepLines/>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03B74A9A"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samostatně řeší problémy; volí vhodné způsoby řešení; užívá při řešení problémů logické, matematické a empirické postupy</w:t>
      </w:r>
    </w:p>
    <w:p w14:paraId="29B5AC58"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ověřuje prakticky správnost řešení problémů a osvědčené postupy aplikuje při řešení obdobných nebo nových problémových situací, sleduje vlastní pokrok při zdolávání problémů</w:t>
      </w:r>
    </w:p>
    <w:p w14:paraId="39A180DD" w14:textId="77777777" w:rsidR="00954272" w:rsidRPr="00954272" w:rsidRDefault="00954272" w:rsidP="00954272">
      <w:pPr>
        <w:tabs>
          <w:tab w:val="num" w:pos="360"/>
          <w:tab w:val="left" w:pos="567"/>
        </w:tabs>
        <w:spacing w:before="40" w:after="600" w:line="240" w:lineRule="auto"/>
        <w:ind w:left="357" w:hanging="35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kriticky myslí, činí uvážlivá rozhodnutí, je schopen je obhájit, uvědomuje si zodpovědnost za svá rozhodnutí a výsledky svých činů zhodnotí</w:t>
      </w:r>
    </w:p>
    <w:p w14:paraId="03D97069" w14:textId="77777777" w:rsidR="00954272" w:rsidRPr="00954272" w:rsidRDefault="00954272" w:rsidP="00954272">
      <w:pPr>
        <w:spacing w:after="0" w:line="240" w:lineRule="auto"/>
        <w:rPr>
          <w:rFonts w:ascii="Times New Roman" w:eastAsia="Times New Roman" w:hAnsi="Times New Roman" w:cs="Times New Roman"/>
          <w:lang w:eastAsia="cs-CZ"/>
        </w:rPr>
      </w:pP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61312" behindDoc="1" locked="1" layoutInCell="1" allowOverlap="1" wp14:anchorId="316DCEF3" wp14:editId="5CA90FB3">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94D1D" id="Rectangle 27" o:spid="_x0000_s1026" style="position:absolute;margin-left:104.9pt;margin-top:-1.75pt;width:243pt;height:4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47BA229E" w14:textId="77777777" w:rsidR="00954272" w:rsidRPr="00954272" w:rsidRDefault="00954272" w:rsidP="00954272">
      <w:pPr>
        <w:spacing w:before="60" w:line="256" w:lineRule="auto"/>
        <w:jc w:val="center"/>
        <w:rPr>
          <w:rFonts w:ascii="Times New Roman" w:hAnsi="Times New Roman" w:cs="Times New Roman"/>
          <w:b/>
          <w:bCs/>
          <w:sz w:val="28"/>
          <w:szCs w:val="28"/>
        </w:rPr>
      </w:pPr>
      <w:r w:rsidRPr="00954272">
        <w:rPr>
          <w:rFonts w:ascii="Times New Roman" w:hAnsi="Times New Roman" w:cs="Times New Roman"/>
          <w:b/>
          <w:bCs/>
          <w:sz w:val="28"/>
          <w:szCs w:val="28"/>
        </w:rPr>
        <w:t xml:space="preserve">Kompetence komunikativní </w:t>
      </w:r>
    </w:p>
    <w:p w14:paraId="4ACEE343" w14:textId="77777777" w:rsidR="00954272" w:rsidRPr="00954272" w:rsidRDefault="00954272" w:rsidP="00954272">
      <w:pPr>
        <w:spacing w:after="480" w:line="240" w:lineRule="auto"/>
        <w:rPr>
          <w:rFonts w:ascii="Times New Roman" w:eastAsia="Times New Roman" w:hAnsi="Times New Roman" w:cs="Times New Roman"/>
          <w:lang w:eastAsia="cs-CZ"/>
        </w:rPr>
      </w:pPr>
    </w:p>
    <w:p w14:paraId="7DF14F56"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2D7D99D1"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formuluje a vyjadřuje své myšlenky a názory v logickém sledu, vyjadřuje se výstižně, souvisle a kultivovaně v písemném i ústním projevu</w:t>
      </w:r>
    </w:p>
    <w:p w14:paraId="4682BF44"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naslouchá promluvám druhých lidí, porozumí jim, vhodně na ně reaguje, účinně se zapojuje do diskuse, obhajuje svůj názor a vhodně argumentuje</w:t>
      </w:r>
    </w:p>
    <w:p w14:paraId="20F07377"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438A54F4"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využívá informační a komunikační prostředky a technologie pro kvalitní a účinnou komunikaci s okolním světem</w:t>
      </w:r>
    </w:p>
    <w:p w14:paraId="2CE9DB60"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využívá získané komunikativní dovednosti k vytváření vztahů potřebných k plnohodnotnému soužití a kvalitní spolupráci s ostatními lidmi</w:t>
      </w:r>
      <w:r w:rsidRPr="00954272">
        <w:rPr>
          <w:rFonts w:ascii="Times New Roman" w:eastAsia="Times New Roman" w:hAnsi="Times New Roman" w:cs="Times New Roman"/>
          <w:lang w:eastAsia="cs-CZ"/>
        </w:rPr>
        <w:br w:type="page"/>
      </w:r>
    </w:p>
    <w:p w14:paraId="2291B756" w14:textId="77777777" w:rsidR="00954272" w:rsidRPr="00954272" w:rsidRDefault="00954272" w:rsidP="00954272">
      <w:pPr>
        <w:tabs>
          <w:tab w:val="left" w:pos="567"/>
        </w:tabs>
        <w:spacing w:before="60" w:after="0" w:line="240" w:lineRule="auto"/>
        <w:ind w:left="567"/>
        <w:jc w:val="both"/>
        <w:rPr>
          <w:rFonts w:ascii="Times New Roman" w:eastAsia="Times New Roman" w:hAnsi="Times New Roman" w:cs="Times New Roman"/>
          <w:lang w:eastAsia="cs-CZ"/>
        </w:rPr>
      </w:pPr>
    </w:p>
    <w:p w14:paraId="4B332054" w14:textId="77777777" w:rsidR="00954272" w:rsidRPr="00954272" w:rsidRDefault="00954272" w:rsidP="00954272">
      <w:pPr>
        <w:tabs>
          <w:tab w:val="left" w:pos="567"/>
        </w:tabs>
        <w:spacing w:before="60" w:after="0" w:line="240" w:lineRule="auto"/>
        <w:ind w:left="567"/>
        <w:jc w:val="both"/>
        <w:rPr>
          <w:rFonts w:ascii="Times New Roman" w:eastAsia="Times New Roman" w:hAnsi="Times New Roman" w:cs="Times New Roman"/>
          <w:lang w:eastAsia="cs-CZ"/>
        </w:rPr>
      </w:pPr>
    </w:p>
    <w:p w14:paraId="036C184D" w14:textId="77777777" w:rsidR="00954272" w:rsidRPr="00954272" w:rsidRDefault="00954272" w:rsidP="00954272">
      <w:pPr>
        <w:keepNext/>
        <w:keepLines/>
        <w:spacing w:before="280" w:after="0" w:line="240" w:lineRule="auto"/>
        <w:jc w:val="center"/>
        <w:rPr>
          <w:rFonts w:ascii="Times New Roman" w:eastAsia="Times New Roman" w:hAnsi="Times New Roman" w:cs="Times New Roman"/>
          <w:lang w:eastAsia="cs-CZ"/>
        </w:rPr>
      </w:pPr>
      <w:r w:rsidRPr="00954272">
        <w:rPr>
          <w:rFonts w:ascii="Times New Roman" w:eastAsia="Times New Roman" w:hAnsi="Times New Roman" w:cs="Times New Roman"/>
          <w:b/>
          <w:bCs/>
          <w:sz w:val="28"/>
          <w:szCs w:val="28"/>
          <w:lang w:eastAsia="cs-CZ"/>
        </w:rPr>
        <w:t xml:space="preserve">Kompetence sociální a personální </w:t>
      </w: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62336" behindDoc="1" locked="1" layoutInCell="1" allowOverlap="1" wp14:anchorId="5CCC400C" wp14:editId="22C1F1D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8366" id="Rectangle 28" o:spid="_x0000_s1026" style="position:absolute;margin-left:91.5pt;margin-top:.4pt;width:268.7pt;height:4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64ECF705" w14:textId="77777777" w:rsidR="00954272" w:rsidRPr="00954272" w:rsidRDefault="00954272" w:rsidP="00954272">
      <w:pPr>
        <w:keepNext/>
        <w:keepLines/>
        <w:spacing w:after="600" w:line="240" w:lineRule="auto"/>
        <w:rPr>
          <w:rFonts w:ascii="Times New Roman" w:eastAsia="Times New Roman" w:hAnsi="Times New Roman" w:cs="Times New Roman"/>
          <w:lang w:eastAsia="cs-CZ"/>
        </w:rPr>
      </w:pPr>
    </w:p>
    <w:p w14:paraId="71CD6BBB" w14:textId="77777777" w:rsidR="00954272" w:rsidRPr="00954272" w:rsidRDefault="00954272" w:rsidP="00954272">
      <w:pPr>
        <w:keepNext/>
        <w:keepLines/>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70AADADE" w14:textId="77777777" w:rsidR="00954272" w:rsidRPr="00954272" w:rsidRDefault="00954272" w:rsidP="00954272">
      <w:pPr>
        <w:keepNext/>
        <w:keepLines/>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účinně spolupracuje ve skupině, podílí se společně s pedagogy na vytváření pravidel práce v týmu, na základě poznání nebo přijetí nové role v pracovní činnosti pozitivně ovlivňuje kvalitu společné práce</w:t>
      </w:r>
    </w:p>
    <w:p w14:paraId="659B7341" w14:textId="77777777" w:rsidR="00954272" w:rsidRPr="00954272" w:rsidRDefault="00954272" w:rsidP="00954272">
      <w:pPr>
        <w:keepNext/>
        <w:keepLines/>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podílí se na utváření příjemné atmosféry v týmu, na základě ohleduplnosti a úcty při jednání s druhými lidmi přispívá k upevňování dobrých mezilidských vztahů, v případě potřeby poskytne pomoc nebo o ni požádá</w:t>
      </w:r>
    </w:p>
    <w:p w14:paraId="17A16127"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2518D529" w14:textId="77777777" w:rsidR="00954272" w:rsidRPr="00954272" w:rsidRDefault="00954272" w:rsidP="00954272">
      <w:pPr>
        <w:tabs>
          <w:tab w:val="num" w:pos="360"/>
          <w:tab w:val="left" w:pos="567"/>
        </w:tabs>
        <w:spacing w:before="40" w:after="600" w:line="240" w:lineRule="auto"/>
        <w:ind w:left="357" w:hanging="35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vytváří si pozitivní představu o sobě samém, která podporuje jeho sebedůvěru a samostatný rozvoj; ovládá a řídí svoje jednání a chování tak, aby dosáhl pocitu sebeuspokojení a sebeúcty </w:t>
      </w:r>
    </w:p>
    <w:p w14:paraId="44B63E04" w14:textId="77777777" w:rsidR="00954272" w:rsidRPr="00954272" w:rsidRDefault="00954272" w:rsidP="00954272">
      <w:pPr>
        <w:spacing w:after="0" w:line="240" w:lineRule="auto"/>
        <w:rPr>
          <w:rFonts w:ascii="Times New Roman" w:eastAsia="Times New Roman" w:hAnsi="Times New Roman" w:cs="Times New Roman"/>
          <w:lang w:eastAsia="cs-CZ"/>
        </w:rPr>
      </w:pPr>
    </w:p>
    <w:p w14:paraId="1E75FB2B" w14:textId="77777777" w:rsidR="00954272" w:rsidRPr="00954272" w:rsidRDefault="00954272" w:rsidP="00954272">
      <w:pPr>
        <w:spacing w:after="0" w:line="240" w:lineRule="auto"/>
        <w:rPr>
          <w:rFonts w:ascii="Times New Roman" w:eastAsia="Times New Roman" w:hAnsi="Times New Roman" w:cs="Times New Roman"/>
          <w:lang w:eastAsia="cs-CZ"/>
        </w:rPr>
      </w:pP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63360" behindDoc="1" locked="1" layoutInCell="1" allowOverlap="1" wp14:anchorId="05669028" wp14:editId="4AB50EF8">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D43F" id="Rectangle 29" o:spid="_x0000_s1026" style="position:absolute;margin-left:0;margin-top:.25pt;width:180pt;height:4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2F3160B0" w14:textId="77777777" w:rsidR="00954272" w:rsidRPr="00954272" w:rsidRDefault="00954272" w:rsidP="00954272">
      <w:pPr>
        <w:spacing w:before="60" w:line="256" w:lineRule="auto"/>
        <w:jc w:val="center"/>
        <w:rPr>
          <w:rFonts w:ascii="Times New Roman" w:hAnsi="Times New Roman" w:cs="Times New Roman"/>
          <w:b/>
          <w:bCs/>
          <w:sz w:val="28"/>
          <w:szCs w:val="28"/>
        </w:rPr>
      </w:pPr>
      <w:r w:rsidRPr="00954272">
        <w:rPr>
          <w:rFonts w:ascii="Times New Roman" w:hAnsi="Times New Roman" w:cs="Times New Roman"/>
          <w:b/>
          <w:bCs/>
          <w:sz w:val="28"/>
          <w:szCs w:val="28"/>
        </w:rPr>
        <w:t xml:space="preserve">Kompetence občanské </w:t>
      </w:r>
    </w:p>
    <w:p w14:paraId="1456FF08" w14:textId="77777777" w:rsidR="00954272" w:rsidRPr="00954272" w:rsidRDefault="00954272" w:rsidP="00954272">
      <w:pPr>
        <w:spacing w:after="480" w:line="240" w:lineRule="auto"/>
        <w:rPr>
          <w:rFonts w:ascii="Times New Roman" w:eastAsia="Times New Roman" w:hAnsi="Times New Roman" w:cs="Times New Roman"/>
          <w:lang w:eastAsia="cs-CZ"/>
        </w:rPr>
      </w:pPr>
    </w:p>
    <w:p w14:paraId="68828722"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72870A27"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419D5C19"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chápe základní principy, na nichž spočívají zákony a společenské normy, je si vědom svých práv a povinností ve škole i mimo školu</w:t>
      </w:r>
    </w:p>
    <w:p w14:paraId="4CE31481"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rozhoduje se zodpovědně podle dané situace, poskytne dle svých možností účinnou pomoc a chová se zodpovědně v krizových situacích i v situacích ohrožujících život a zdraví člověka</w:t>
      </w:r>
    </w:p>
    <w:p w14:paraId="3E968882"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respektuje, chrání a ocení naše tradice a kulturní i historické dědictví, projevuje pozitivní postoj k uměleckým dílům, smysl pro kulturu a tvořivost, aktivně se zapojuje do kulturního dění a sportovních aktivit</w:t>
      </w:r>
    </w:p>
    <w:p w14:paraId="2FFFAF6E"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chápe základní ekologické souvislosti a environmentální problémy, respektuje požadavky na kvalitní životní prostředí, rozhoduje se v zájmu podpory a ochrany zdraví a trvale udržitelného rozvoje společnosti</w:t>
      </w:r>
    </w:p>
    <w:p w14:paraId="7EF9DE62" w14:textId="77777777" w:rsidR="00954272" w:rsidRPr="00954272" w:rsidRDefault="00954272" w:rsidP="00954272">
      <w:pPr>
        <w:spacing w:line="256" w:lineRule="auto"/>
        <w:rPr>
          <w:rFonts w:ascii="Times New Roman" w:hAnsi="Times New Roman" w:cs="Times New Roman"/>
        </w:rPr>
      </w:pPr>
      <w:r w:rsidRPr="00954272">
        <w:rPr>
          <w:rFonts w:ascii="Times New Roman" w:hAnsi="Times New Roman" w:cs="Times New Roman"/>
        </w:rPr>
        <w:br w:type="page"/>
      </w:r>
    </w:p>
    <w:p w14:paraId="52D5441F" w14:textId="77777777" w:rsidR="00954272" w:rsidRPr="00954272" w:rsidRDefault="00954272" w:rsidP="00954272">
      <w:pPr>
        <w:tabs>
          <w:tab w:val="left" w:pos="567"/>
        </w:tabs>
        <w:spacing w:before="60" w:after="0" w:line="240" w:lineRule="auto"/>
        <w:ind w:left="567"/>
        <w:jc w:val="both"/>
        <w:rPr>
          <w:rFonts w:ascii="Times New Roman" w:eastAsia="Times New Roman" w:hAnsi="Times New Roman" w:cs="Times New Roman"/>
          <w:lang w:eastAsia="cs-CZ"/>
        </w:rPr>
      </w:pPr>
    </w:p>
    <w:p w14:paraId="5AA3301A" w14:textId="77777777" w:rsidR="00954272" w:rsidRPr="00954272" w:rsidRDefault="00954272" w:rsidP="00954272">
      <w:pPr>
        <w:tabs>
          <w:tab w:val="left" w:pos="567"/>
        </w:tabs>
        <w:spacing w:before="60" w:after="0" w:line="240" w:lineRule="auto"/>
        <w:ind w:left="567"/>
        <w:jc w:val="both"/>
        <w:rPr>
          <w:rFonts w:ascii="Times New Roman" w:eastAsia="Times New Roman" w:hAnsi="Times New Roman" w:cs="Times New Roman"/>
          <w:lang w:eastAsia="cs-CZ"/>
        </w:rPr>
      </w:pPr>
    </w:p>
    <w:p w14:paraId="4179434A" w14:textId="77777777" w:rsidR="00954272" w:rsidRPr="00954272" w:rsidRDefault="00954272" w:rsidP="00954272">
      <w:pPr>
        <w:spacing w:after="0" w:line="240" w:lineRule="auto"/>
        <w:rPr>
          <w:rFonts w:ascii="Times New Roman" w:eastAsia="Times New Roman" w:hAnsi="Times New Roman" w:cs="Times New Roman"/>
          <w:lang w:eastAsia="cs-CZ"/>
        </w:rPr>
      </w:pP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64384" behindDoc="1" locked="1" layoutInCell="1" allowOverlap="1" wp14:anchorId="1F0C2207" wp14:editId="2F822988">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D0465" id="Rectangle 30" o:spid="_x0000_s1026" style="position:absolute;margin-left:0;margin-top:0;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641752A9" w14:textId="77777777" w:rsidR="00954272" w:rsidRPr="00954272" w:rsidRDefault="00954272" w:rsidP="00954272">
      <w:pPr>
        <w:spacing w:before="60" w:line="256" w:lineRule="auto"/>
        <w:jc w:val="center"/>
        <w:rPr>
          <w:rFonts w:ascii="Times New Roman" w:hAnsi="Times New Roman" w:cs="Times New Roman"/>
          <w:b/>
          <w:bCs/>
          <w:sz w:val="28"/>
          <w:szCs w:val="28"/>
        </w:rPr>
      </w:pPr>
      <w:r w:rsidRPr="00954272">
        <w:rPr>
          <w:rFonts w:ascii="Times New Roman" w:hAnsi="Times New Roman" w:cs="Times New Roman"/>
          <w:b/>
          <w:bCs/>
          <w:sz w:val="28"/>
          <w:szCs w:val="28"/>
        </w:rPr>
        <w:t>Kompetence pracovní</w:t>
      </w:r>
    </w:p>
    <w:p w14:paraId="6DCB02FF" w14:textId="77777777" w:rsidR="00954272" w:rsidRPr="00954272" w:rsidRDefault="00954272" w:rsidP="00954272">
      <w:pPr>
        <w:spacing w:before="120" w:after="480" w:line="240" w:lineRule="auto"/>
        <w:ind w:firstLine="567"/>
        <w:jc w:val="both"/>
        <w:rPr>
          <w:rFonts w:ascii="Times New Roman" w:eastAsia="Times New Roman" w:hAnsi="Times New Roman" w:cs="Times New Roman"/>
          <w:lang w:eastAsia="cs-CZ"/>
        </w:rPr>
      </w:pPr>
    </w:p>
    <w:p w14:paraId="203ED62B"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Na konci základního vzdělávání žák:</w:t>
      </w:r>
    </w:p>
    <w:p w14:paraId="25AAE7E5"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používá bezpečně a účinně materiály, nástroje a vybavení, dodržuje vymezená pravidla, plní povinnosti a závazky, adaptuje se na změněné nebo nové pracovní podmínky</w:t>
      </w:r>
    </w:p>
    <w:p w14:paraId="288EFF7B"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10EBC982"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využívá znalosti a zkušenosti získané v jednotlivých vzdělávacích oblastech v zájmu vlastního rozvoje i své přípravy na budoucnost, činí podložená rozhodnutí o dalším vzdělávání a profesním zaměření</w:t>
      </w:r>
    </w:p>
    <w:p w14:paraId="409E4011"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orientuje se v základních aktivitách potřebných k uskutečnění podnikatelského záměru a k jeho realizaci, chápe podstatu, cíl a riziko podnikání, rozvíjí své podnikatelské myšlení</w:t>
      </w:r>
    </w:p>
    <w:p w14:paraId="120C9CBA" w14:textId="77777777" w:rsidR="00954272" w:rsidRPr="00954272" w:rsidRDefault="00954272" w:rsidP="00954272">
      <w:pPr>
        <w:tabs>
          <w:tab w:val="left" w:pos="567"/>
        </w:tabs>
        <w:spacing w:before="40" w:after="0" w:line="240" w:lineRule="auto"/>
        <w:ind w:left="360" w:hanging="360"/>
        <w:jc w:val="both"/>
        <w:rPr>
          <w:rFonts w:ascii="Times New Roman" w:eastAsia="Times New Roman" w:hAnsi="Times New Roman" w:cs="Times New Roman"/>
          <w:lang w:eastAsia="cs-CZ"/>
        </w:rPr>
      </w:pPr>
    </w:p>
    <w:p w14:paraId="08E5492A" w14:textId="77777777" w:rsidR="00954272" w:rsidRPr="00954272" w:rsidRDefault="00954272" w:rsidP="00954272">
      <w:pPr>
        <w:tabs>
          <w:tab w:val="left" w:pos="567"/>
        </w:tabs>
        <w:spacing w:before="40" w:after="0" w:line="240" w:lineRule="auto"/>
        <w:ind w:left="360" w:hanging="360"/>
        <w:jc w:val="both"/>
        <w:rPr>
          <w:rFonts w:ascii="Times New Roman" w:eastAsia="Times New Roman" w:hAnsi="Times New Roman" w:cs="Times New Roman"/>
          <w:lang w:eastAsia="cs-CZ"/>
        </w:rPr>
      </w:pPr>
    </w:p>
    <w:p w14:paraId="5F348F92" w14:textId="77777777" w:rsidR="00954272" w:rsidRPr="00954272" w:rsidRDefault="00954272" w:rsidP="00954272">
      <w:pPr>
        <w:tabs>
          <w:tab w:val="left" w:pos="567"/>
        </w:tabs>
        <w:spacing w:before="40" w:after="0" w:line="240" w:lineRule="auto"/>
        <w:ind w:left="360" w:hanging="360"/>
        <w:jc w:val="both"/>
        <w:rPr>
          <w:rFonts w:ascii="Times New Roman" w:eastAsia="Times New Roman" w:hAnsi="Times New Roman" w:cs="Times New Roman"/>
          <w:lang w:eastAsia="cs-CZ"/>
        </w:rPr>
      </w:pPr>
    </w:p>
    <w:p w14:paraId="7E74C088" w14:textId="77777777" w:rsidR="00954272" w:rsidRPr="00954272" w:rsidRDefault="00954272" w:rsidP="00954272">
      <w:pPr>
        <w:spacing w:after="0" w:line="240" w:lineRule="auto"/>
        <w:rPr>
          <w:rFonts w:ascii="Times New Roman" w:eastAsia="Times New Roman" w:hAnsi="Times New Roman" w:cs="Times New Roman"/>
          <w:lang w:eastAsia="cs-CZ"/>
        </w:rPr>
      </w:pPr>
      <w:r w:rsidRPr="00954272">
        <w:rPr>
          <w:rFonts w:ascii="Times New Roman" w:eastAsia="Times New Roman" w:hAnsi="Times New Roman" w:cs="Times New Roman"/>
          <w:noProof/>
          <w:lang w:eastAsia="cs-CZ"/>
        </w:rPr>
        <mc:AlternateContent>
          <mc:Choice Requires="wps">
            <w:drawing>
              <wp:anchor distT="0" distB="0" distL="114300" distR="114300" simplePos="0" relativeHeight="251665408" behindDoc="1" locked="1" layoutInCell="1" allowOverlap="1" wp14:anchorId="2F8008B8" wp14:editId="5DDB4B2A">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329A"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600B2235" w14:textId="77777777" w:rsidR="00954272" w:rsidRPr="00954272" w:rsidRDefault="00954272" w:rsidP="00954272">
      <w:pPr>
        <w:spacing w:before="60" w:line="256" w:lineRule="auto"/>
        <w:jc w:val="center"/>
        <w:rPr>
          <w:rFonts w:ascii="Times New Roman" w:hAnsi="Times New Roman" w:cs="Times New Roman"/>
          <w:b/>
          <w:bCs/>
          <w:sz w:val="28"/>
          <w:szCs w:val="28"/>
        </w:rPr>
      </w:pPr>
      <w:r w:rsidRPr="00954272">
        <w:rPr>
          <w:rFonts w:ascii="Times New Roman" w:hAnsi="Times New Roman" w:cs="Times New Roman"/>
          <w:b/>
          <w:bCs/>
          <w:sz w:val="28"/>
          <w:szCs w:val="28"/>
        </w:rPr>
        <w:t>Kompetence digitální</w:t>
      </w:r>
    </w:p>
    <w:p w14:paraId="262C2E63" w14:textId="77777777" w:rsidR="00954272" w:rsidRPr="00954272" w:rsidRDefault="00954272" w:rsidP="00954272">
      <w:pPr>
        <w:spacing w:after="360" w:line="257" w:lineRule="auto"/>
        <w:jc w:val="center"/>
        <w:rPr>
          <w:rFonts w:ascii="Times New Roman" w:hAnsi="Times New Roman" w:cs="Times New Roman"/>
          <w:b/>
          <w:sz w:val="28"/>
        </w:rPr>
      </w:pPr>
    </w:p>
    <w:p w14:paraId="07FC4B5C" w14:textId="77777777" w:rsidR="00954272" w:rsidRPr="00954272" w:rsidRDefault="00954272" w:rsidP="00954272">
      <w:pPr>
        <w:spacing w:before="120" w:after="0" w:line="240" w:lineRule="auto"/>
        <w:ind w:firstLine="56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Na konci základního vzdělávání žák: </w:t>
      </w:r>
    </w:p>
    <w:p w14:paraId="74E3AF28"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DC38E36"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získává, vyhledává, kriticky posuzuje, spravuje a sdílí data, informace a digitální obsah, k tomu volí postupy, způsoby a prostředky, které odpovídají konkrétní situaci a účelu </w:t>
      </w:r>
    </w:p>
    <w:p w14:paraId="3233910C"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vytváří a upravuje digitální obsah, kombinuje různé formáty, vyjadřuje se za pomoci digitálních prostředků </w:t>
      </w:r>
    </w:p>
    <w:p w14:paraId="7F50549E"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využívá digitální technologie, aby si usnadnil práci, zautomatizoval rutinní činnosti, zefektivnil či zjednodušil své pracovní postupy a zkvalitnil výsledky své práce </w:t>
      </w:r>
    </w:p>
    <w:p w14:paraId="47CB3ABE" w14:textId="77777777" w:rsidR="00954272" w:rsidRPr="00954272" w:rsidRDefault="00954272" w:rsidP="00954272">
      <w:pPr>
        <w:tabs>
          <w:tab w:val="num" w:pos="360"/>
          <w:tab w:val="left" w:pos="567"/>
        </w:tabs>
        <w:spacing w:before="40" w:after="0" w:line="240" w:lineRule="auto"/>
        <w:ind w:left="360" w:hanging="360"/>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chápe význam digitálních technologií pro lidskou společnost, seznamuje se s novými technologiemi, kriticky hodnotí jejich přínosy a reflektuje rizika jejich využívání </w:t>
      </w:r>
    </w:p>
    <w:p w14:paraId="5A9962EA" w14:textId="77777777" w:rsidR="00954272" w:rsidRPr="00954272" w:rsidRDefault="00954272" w:rsidP="00954272">
      <w:pPr>
        <w:tabs>
          <w:tab w:val="num" w:pos="360"/>
          <w:tab w:val="left" w:pos="567"/>
        </w:tabs>
        <w:spacing w:before="40" w:after="120" w:line="240" w:lineRule="auto"/>
        <w:ind w:left="357" w:hanging="357"/>
        <w:jc w:val="both"/>
        <w:rPr>
          <w:rFonts w:ascii="Times New Roman" w:eastAsia="Times New Roman" w:hAnsi="Times New Roman" w:cs="Times New Roman"/>
          <w:lang w:eastAsia="cs-CZ"/>
        </w:rPr>
      </w:pPr>
      <w:r w:rsidRPr="00954272">
        <w:rPr>
          <w:rFonts w:ascii="Times New Roman" w:eastAsia="Times New Roman" w:hAnsi="Times New Roman" w:cs="Times New Roman"/>
          <w:lang w:eastAsia="cs-CZ"/>
        </w:rP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49748752" w14:textId="77777777" w:rsidR="00954272" w:rsidRDefault="00954272">
      <w:bookmarkStart w:id="1" w:name="_GoBack"/>
      <w:bookmarkEnd w:id="1"/>
    </w:p>
    <w:sectPr w:rsidR="00954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72"/>
    <w:rsid w:val="00954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B529"/>
  <w15:chartTrackingRefBased/>
  <w15:docId w15:val="{F30E46DA-3EE2-40C5-B790-65520FA9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231FA35C3CB4A8757E538A032AA1B" ma:contentTypeVersion="16" ma:contentTypeDescription="Vytvoří nový dokument" ma:contentTypeScope="" ma:versionID="91f0965f2484e91b64c823cfae138824">
  <xsd:schema xmlns:xsd="http://www.w3.org/2001/XMLSchema" xmlns:xs="http://www.w3.org/2001/XMLSchema" xmlns:p="http://schemas.microsoft.com/office/2006/metadata/properties" xmlns:ns3="8dd0f7c6-a2b5-4aa3-a81b-2cf53306d33c" xmlns:ns4="175690fd-4ffa-4ec3-85b5-2e9e70e67967" targetNamespace="http://schemas.microsoft.com/office/2006/metadata/properties" ma:root="true" ma:fieldsID="498bc8797c9c2b1177506c7d442d9ed5" ns3:_="" ns4:_="">
    <xsd:import namespace="8dd0f7c6-a2b5-4aa3-a81b-2cf53306d33c"/>
    <xsd:import namespace="175690fd-4ffa-4ec3-85b5-2e9e70e67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0f7c6-a2b5-4aa3-a81b-2cf53306d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690fd-4ffa-4ec3-85b5-2e9e70e6796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d0f7c6-a2b5-4aa3-a81b-2cf53306d33c" xsi:nil="true"/>
  </documentManagement>
</p:properties>
</file>

<file path=customXml/itemProps1.xml><?xml version="1.0" encoding="utf-8"?>
<ds:datastoreItem xmlns:ds="http://schemas.openxmlformats.org/officeDocument/2006/customXml" ds:itemID="{1E0CBDD3-EEDC-4B99-A181-FAEC17691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0f7c6-a2b5-4aa3-a81b-2cf53306d33c"/>
    <ds:schemaRef ds:uri="175690fd-4ffa-4ec3-85b5-2e9e70e67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489A0-05C3-492D-8A08-3958D6A8D003}">
  <ds:schemaRefs>
    <ds:schemaRef ds:uri="http://schemas.microsoft.com/sharepoint/v3/contenttype/forms"/>
  </ds:schemaRefs>
</ds:datastoreItem>
</file>

<file path=customXml/itemProps3.xml><?xml version="1.0" encoding="utf-8"?>
<ds:datastoreItem xmlns:ds="http://schemas.openxmlformats.org/officeDocument/2006/customXml" ds:itemID="{2E650F7D-4CA3-4B2A-A5E3-4ADC21398BFA}">
  <ds:schemaRefs>
    <ds:schemaRef ds:uri="http://schemas.microsoft.com/office/2006/metadata/properties"/>
    <ds:schemaRef ds:uri="http://schemas.microsoft.com/office/infopath/2007/PartnerControls"/>
    <ds:schemaRef ds:uri="8dd0f7c6-a2b5-4aa3-a81b-2cf53306d3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7390</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Olbertová</dc:creator>
  <cp:keywords/>
  <dc:description/>
  <cp:lastModifiedBy>Markéta Olbertová</cp:lastModifiedBy>
  <cp:revision>1</cp:revision>
  <dcterms:created xsi:type="dcterms:W3CDTF">2023-09-13T18:45:00Z</dcterms:created>
  <dcterms:modified xsi:type="dcterms:W3CDTF">2023-09-13T18:45:00Z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0x01010037A231FA35C3CB4A8757E538A032AA1B</vt:lpwstr>
  </property>
</Properties>
</file>