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6E" w:rsidRDefault="009F6D6E" w:rsidP="00B22981">
      <w:pPr>
        <w:spacing w:before="200" w:after="0" w:line="21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  <w:t>Příprava na vyučovací hodinu českého jazyka</w:t>
      </w:r>
      <w:r w:rsidR="00B22981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  <w:t>, diferenciace</w:t>
      </w:r>
    </w:p>
    <w:p w:rsidR="009F6D6E" w:rsidRPr="00F31D72" w:rsidRDefault="009F6D6E" w:rsidP="009F6D6E">
      <w:pPr>
        <w:rPr>
          <w:rFonts w:ascii="Arial" w:hAnsi="Arial" w:cs="Arial"/>
          <w:b/>
          <w:sz w:val="24"/>
          <w:szCs w:val="24"/>
        </w:rPr>
      </w:pPr>
      <w:r w:rsidRPr="00F31D72">
        <w:rPr>
          <w:rFonts w:ascii="Arial" w:hAnsi="Arial" w:cs="Arial"/>
          <w:b/>
          <w:sz w:val="24"/>
          <w:szCs w:val="24"/>
        </w:rPr>
        <w:t>Literatura a odkazy:</w:t>
      </w:r>
    </w:p>
    <w:p w:rsidR="009F6D6E" w:rsidRDefault="009F6D6E" w:rsidP="009F6D6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FABIÁNKOVÁ, B., HAVEL, J., NOVOTNÁ, M. </w:t>
      </w:r>
      <w:r w:rsidR="00B22981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 xml:space="preserve">Výuka čtení a psaní na 1. </w:t>
      </w:r>
      <w:bookmarkStart w:id="0" w:name="_GoBack"/>
      <w:bookmarkEnd w:id="0"/>
      <w:r w:rsidRPr="00C4763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>stupni základní školy.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Brno 1999</w:t>
      </w:r>
    </w:p>
    <w:p w:rsidR="00711599" w:rsidRDefault="00711599" w:rsidP="009F6D6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PETTY, G. Moderní vyučování. Praha: Portál 1996, 2002, 2006, 2008, 2013</w:t>
      </w:r>
    </w:p>
    <w:p w:rsidR="009F6D6E" w:rsidRDefault="009F6D6E" w:rsidP="009F6D6E">
      <w:pPr>
        <w:rPr>
          <w:rFonts w:ascii="Arial" w:hAnsi="Arial" w:cs="Arial"/>
          <w:sz w:val="24"/>
          <w:szCs w:val="24"/>
        </w:rPr>
      </w:pPr>
    </w:p>
    <w:p w:rsidR="009F6D6E" w:rsidRPr="003F4ED4" w:rsidRDefault="009F6D6E" w:rsidP="009F6D6E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</w:p>
    <w:p w:rsidR="009F6D6E" w:rsidRP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Cíl výuky</w:t>
      </w:r>
    </w:p>
    <w:p w:rsidR="009F6D6E" w:rsidRPr="009F6D6E" w:rsidRDefault="009F6D6E" w:rsidP="00711599">
      <w:pPr>
        <w:pStyle w:val="Normlnweb"/>
        <w:spacing w:before="200" w:beforeAutospacing="0" w:after="0" w:afterAutospacing="0"/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Výukovým cílem by měla být kvalitativní i kvantitativní změna u jednotlivých žáků, a to v oblasti: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kognitivní (vzdělávací), – osvojování poznatků a intelektových dovedností (znalost, porozumění, aplikace, analýza, syntéza a hodnotící posouzení)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afektivní (postojové) – osvojování postojů, tvoření hodnotové orientace (vnímavost, reagování, oceňování hodnoty, integrování hodnot)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psychomotorické (výcvikové) - osvojování psychomotorických dovedností (řeč, psaní, manipulace, imitace, zpřesňování, koordinace, automatizace) </w:t>
      </w:r>
    </w:p>
    <w:p w:rsidR="009F6D6E" w:rsidRDefault="009F6D6E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495054" w:rsidRDefault="009F6D6E">
      <w:pP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Požadavky na výukové cíle</w:t>
      </w:r>
      <w: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: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Komplexnost 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Soudržnost 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Kontrolovatelnost </w:t>
      </w:r>
    </w:p>
    <w:p w:rsidR="009F6D6E" w:rsidRPr="00711599" w:rsidRDefault="009F6D6E" w:rsidP="00016248">
      <w:pPr>
        <w:pStyle w:val="Odstavecseseznamem"/>
        <w:numPr>
          <w:ilvl w:val="0"/>
          <w:numId w:val="4"/>
        </w:num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 xml:space="preserve">Přiměřenost </w:t>
      </w:r>
    </w:p>
    <w:p w:rsidR="00E75F8E" w:rsidRDefault="00E75F8E" w:rsidP="00E75F8E"/>
    <w:p w:rsidR="00E75F8E" w:rsidRDefault="00E75F8E" w:rsidP="00E75F8E">
      <w:r>
        <w:rPr>
          <w:noProof/>
          <w:lang w:eastAsia="cs-CZ"/>
        </w:rPr>
        <w:drawing>
          <wp:inline distT="0" distB="0" distL="0" distR="0" wp14:anchorId="77B3585B" wp14:editId="5843913E">
            <wp:extent cx="3124200" cy="2343150"/>
            <wp:effectExtent l="0" t="0" r="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Bloomova</w:t>
      </w:r>
      <w:proofErr w:type="spellEnd"/>
      <w:r>
        <w:t xml:space="preserve"> taxonomie vzdělávacích cílů</w:t>
      </w:r>
    </w:p>
    <w:p w:rsidR="00E75F8E" w:rsidRPr="00711599" w:rsidRDefault="00E75F8E" w:rsidP="00E75F8E"/>
    <w:p w:rsidR="009F6D6E" w:rsidRP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Prostředky a cesty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>Věcný obsah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>Metodika</w:t>
      </w:r>
    </w:p>
    <w:p w:rsidR="009F6D6E" w:rsidRDefault="009F6D6E" w:rsidP="009F6D6E">
      <w:pPr>
        <w:pStyle w:val="Odstavecseseznamem"/>
      </w:pPr>
    </w:p>
    <w:p w:rsid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Organizace vyučovací hodiny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Nutné pracovní podmínky </w:t>
      </w:r>
    </w:p>
    <w:p w:rsid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Organizační typ hodiny </w:t>
      </w:r>
    </w:p>
    <w:p w:rsidR="00711599" w:rsidRPr="009F6D6E" w:rsidRDefault="00711599" w:rsidP="00711599">
      <w:pPr>
        <w:pStyle w:val="Odstavecseseznamem"/>
        <w:rPr>
          <w:rFonts w:ascii="Arial" w:eastAsiaTheme="majorEastAsia" w:hAnsi="Arial" w:cs="Arial"/>
          <w:bCs/>
          <w:color w:val="000000" w:themeColor="text1"/>
          <w:kern w:val="24"/>
        </w:rPr>
      </w:pPr>
    </w:p>
    <w:p w:rsidR="009F6D6E" w:rsidRDefault="00711599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>
        <w:rPr>
          <w:rFonts w:ascii="Arial" w:eastAsiaTheme="minorEastAsia" w:hAnsi="Arial" w:cs="Arial"/>
          <w:color w:val="000000" w:themeColor="text1"/>
          <w:kern w:val="24"/>
          <w:u w:val="single"/>
        </w:rPr>
        <w:t>Další didaktická hlediska, otázky</w:t>
      </w:r>
    </w:p>
    <w:p w:rsidR="00655244" w:rsidRPr="00711599" w:rsidRDefault="00DF5433" w:rsidP="00711599">
      <w:pPr>
        <w:pStyle w:val="Normlnweb"/>
        <w:ind w:left="360"/>
        <w:rPr>
          <w:rFonts w:ascii="Arial" w:eastAsiaTheme="minorEastAsia" w:hAnsi="Arial" w:cs="Arial"/>
          <w:color w:val="000000" w:themeColor="text1"/>
          <w:kern w:val="24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</w:rPr>
        <w:t>Jak budu žáky aktivizovat, motivovat?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11599">
        <w:rPr>
          <w:rFonts w:ascii="Arial" w:eastAsiaTheme="minorEastAsia" w:hAnsi="Arial" w:cs="Arial"/>
          <w:color w:val="000000" w:themeColor="text1"/>
          <w:kern w:val="24"/>
        </w:rPr>
        <w:t>Co bude pro žáky nejobtížnější?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11599">
        <w:rPr>
          <w:rFonts w:ascii="Arial" w:eastAsiaTheme="minorEastAsia" w:hAnsi="Arial" w:cs="Arial"/>
          <w:color w:val="000000" w:themeColor="text1"/>
          <w:kern w:val="24"/>
        </w:rPr>
        <w:t xml:space="preserve">Jak zajistím diferencovaný a individualizovaný </w:t>
      </w:r>
      <w:proofErr w:type="gramStart"/>
      <w:r w:rsidRPr="00711599">
        <w:rPr>
          <w:rFonts w:ascii="Arial" w:eastAsiaTheme="minorEastAsia" w:hAnsi="Arial" w:cs="Arial"/>
          <w:color w:val="000000" w:themeColor="text1"/>
          <w:kern w:val="24"/>
        </w:rPr>
        <w:t>přístup?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>.....atd</w:t>
      </w:r>
      <w:proofErr w:type="gramEnd"/>
      <w:r w:rsidR="00711599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711599" w:rsidRDefault="00711599" w:rsidP="00711599">
      <w:pPr>
        <w:pStyle w:val="Normlnweb"/>
        <w:spacing w:before="200" w:beforeAutospacing="0" w:after="0" w:afterAutospacing="0" w:line="216" w:lineRule="auto"/>
        <w:ind w:left="720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711599" w:rsidRPr="009F6D6E" w:rsidRDefault="00711599" w:rsidP="00711599">
      <w:pPr>
        <w:pStyle w:val="Normlnweb"/>
        <w:spacing w:before="200" w:beforeAutospacing="0" w:after="0" w:afterAutospacing="0" w:line="216" w:lineRule="auto"/>
        <w:ind w:left="720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9F6D6E" w:rsidRPr="00711599" w:rsidRDefault="00711599" w:rsidP="009F6D6E">
      <w:pPr>
        <w:pStyle w:val="Odstavecseseznamem"/>
        <w:numPr>
          <w:ilvl w:val="0"/>
          <w:numId w:val="5"/>
        </w:numPr>
        <w:rPr>
          <w:rFonts w:ascii="Arial" w:hAnsi="Arial" w:cs="Arial"/>
          <w:u w:val="single"/>
        </w:rPr>
      </w:pPr>
      <w:r w:rsidRPr="00711599">
        <w:rPr>
          <w:rFonts w:ascii="Arial" w:hAnsi="Arial" w:cs="Arial"/>
          <w:u w:val="single"/>
        </w:rPr>
        <w:t>Co nesmí chybět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Důraz na diferenciaci výuky – musí být zřejmá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Motivace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Časové rozložení vyučovací hodiny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Příloha – pracovní list, text….</w:t>
      </w:r>
    </w:p>
    <w:p w:rsidR="00711599" w:rsidRDefault="00711599" w:rsidP="00711599">
      <w:pPr>
        <w:pStyle w:val="Odstavecseseznamem"/>
      </w:pPr>
    </w:p>
    <w:p w:rsidR="00711599" w:rsidRDefault="00711599" w:rsidP="00711599"/>
    <w:p w:rsidR="00E75F8E" w:rsidRPr="00E75F8E" w:rsidRDefault="00E75F8E" w:rsidP="00E75F8E">
      <w:pPr>
        <w:pStyle w:val="Odstavecseseznamem"/>
        <w:numPr>
          <w:ilvl w:val="0"/>
          <w:numId w:val="5"/>
        </w:numPr>
        <w:rPr>
          <w:rFonts w:ascii="Arial" w:hAnsi="Arial" w:cs="Arial"/>
          <w:u w:val="single"/>
        </w:rPr>
      </w:pPr>
      <w:r w:rsidRPr="00E75F8E">
        <w:rPr>
          <w:rFonts w:ascii="Arial" w:hAnsi="Arial" w:cs="Arial"/>
          <w:u w:val="single"/>
        </w:rPr>
        <w:t>Východiska pro nastavování podpory ve škole</w:t>
      </w:r>
    </w:p>
    <w:p w:rsidR="00E75F8E" w:rsidRDefault="00E75F8E" w:rsidP="00E75F8E">
      <w:pPr>
        <w:pStyle w:val="Odstavecseseznamem"/>
      </w:pPr>
    </w:p>
    <w:p w:rsidR="00E75F8E" w:rsidRPr="00E75F8E" w:rsidRDefault="00E75F8E" w:rsidP="00E75F8E">
      <w:pPr>
        <w:pStyle w:val="Odstavecseseznamem"/>
        <w:numPr>
          <w:ilvl w:val="0"/>
          <w:numId w:val="12"/>
        </w:numPr>
        <w:spacing w:line="216" w:lineRule="auto"/>
      </w:pPr>
      <w:r w:rsidRPr="00E75F8E">
        <w:rPr>
          <w:rFonts w:ascii="Arial" w:eastAsiaTheme="minorEastAsia" w:hAnsi="Arial" w:cs="Arial"/>
          <w:kern w:val="24"/>
        </w:rPr>
        <w:t xml:space="preserve">pozorování žáka v hodině, </w:t>
      </w:r>
    </w:p>
    <w:p w:rsidR="00E75F8E" w:rsidRPr="00E75F8E" w:rsidRDefault="00E75F8E" w:rsidP="00E75F8E">
      <w:pPr>
        <w:pStyle w:val="Odstavecseseznamem"/>
        <w:numPr>
          <w:ilvl w:val="0"/>
          <w:numId w:val="12"/>
        </w:numPr>
        <w:spacing w:line="216" w:lineRule="auto"/>
      </w:pPr>
      <w:r w:rsidRPr="00E75F8E">
        <w:rPr>
          <w:rFonts w:ascii="Arial" w:eastAsiaTheme="minorEastAsia" w:hAnsi="Arial" w:cs="Arial"/>
          <w:kern w:val="24"/>
        </w:rPr>
        <w:t xml:space="preserve">rozhovor (se žákem či zákonným zástupcem žáka), </w:t>
      </w:r>
    </w:p>
    <w:p w:rsidR="00E75F8E" w:rsidRPr="00E75F8E" w:rsidRDefault="00E75F8E" w:rsidP="00E75F8E">
      <w:pPr>
        <w:pStyle w:val="Odstavecseseznamem"/>
        <w:numPr>
          <w:ilvl w:val="0"/>
          <w:numId w:val="12"/>
        </w:numPr>
        <w:spacing w:line="216" w:lineRule="auto"/>
      </w:pPr>
      <w:r w:rsidRPr="00E75F8E">
        <w:rPr>
          <w:rFonts w:ascii="Arial" w:eastAsiaTheme="minorEastAsia" w:hAnsi="Arial" w:cs="Arial"/>
          <w:kern w:val="24"/>
        </w:rPr>
        <w:t xml:space="preserve">ústní prověřování znalostí a dovedností, </w:t>
      </w:r>
    </w:p>
    <w:p w:rsidR="00E75F8E" w:rsidRPr="00E75F8E" w:rsidRDefault="00E75F8E" w:rsidP="00E75F8E">
      <w:pPr>
        <w:pStyle w:val="Odstavecseseznamem"/>
        <w:numPr>
          <w:ilvl w:val="0"/>
          <w:numId w:val="12"/>
        </w:numPr>
        <w:spacing w:line="216" w:lineRule="auto"/>
      </w:pPr>
      <w:r w:rsidRPr="00E75F8E">
        <w:rPr>
          <w:rFonts w:ascii="Arial" w:eastAsiaTheme="minorEastAsia" w:hAnsi="Arial" w:cs="Arial"/>
          <w:kern w:val="24"/>
        </w:rPr>
        <w:t xml:space="preserve">písemné zkoušky, analýza procesů, výkonů a výsledků činností (s důrazem na kvalitativní rozbor), didaktické testy, </w:t>
      </w:r>
    </w:p>
    <w:p w:rsidR="00E75F8E" w:rsidRPr="00E75F8E" w:rsidRDefault="00E75F8E" w:rsidP="00E75F8E">
      <w:pPr>
        <w:pStyle w:val="Odstavecseseznamem"/>
        <w:numPr>
          <w:ilvl w:val="0"/>
          <w:numId w:val="12"/>
        </w:numPr>
        <w:spacing w:line="216" w:lineRule="auto"/>
      </w:pPr>
      <w:r w:rsidRPr="00E75F8E">
        <w:rPr>
          <w:rFonts w:ascii="Arial" w:eastAsiaTheme="minorEastAsia" w:hAnsi="Arial" w:cs="Arial"/>
          <w:kern w:val="24"/>
        </w:rPr>
        <w:t xml:space="preserve">portfolio žákovských prací, reflexe rozboru výsledků žákovy práce a hodnocení, </w:t>
      </w:r>
    </w:p>
    <w:p w:rsidR="00E75F8E" w:rsidRPr="00E75F8E" w:rsidRDefault="00E75F8E" w:rsidP="00E75F8E">
      <w:pPr>
        <w:pStyle w:val="Odstavecseseznamem"/>
        <w:numPr>
          <w:ilvl w:val="0"/>
          <w:numId w:val="12"/>
        </w:numPr>
        <w:spacing w:line="216" w:lineRule="auto"/>
      </w:pPr>
      <w:r w:rsidRPr="00E75F8E">
        <w:rPr>
          <w:rFonts w:ascii="Arial" w:eastAsiaTheme="minorEastAsia" w:hAnsi="Arial" w:cs="Arial"/>
          <w:kern w:val="24"/>
        </w:rPr>
        <w:t>analýza domácí přípravy žáka a dosavadního pedagogického přístupu.</w:t>
      </w:r>
    </w:p>
    <w:p w:rsidR="00E75F8E" w:rsidRDefault="00E75F8E" w:rsidP="00E75F8E">
      <w:pPr>
        <w:pStyle w:val="Odstavecseseznamem"/>
      </w:pPr>
    </w:p>
    <w:p w:rsidR="00E75F8E" w:rsidRDefault="00E75F8E" w:rsidP="00E75F8E">
      <w:pPr>
        <w:pStyle w:val="Odstavecseseznamem"/>
      </w:pPr>
    </w:p>
    <w:p w:rsidR="00E75F8E" w:rsidRDefault="00E75F8E" w:rsidP="00E75F8E">
      <w:pPr>
        <w:pStyle w:val="Odstavecseseznamem"/>
        <w:numPr>
          <w:ilvl w:val="0"/>
          <w:numId w:val="5"/>
        </w:numPr>
        <w:rPr>
          <w:rFonts w:ascii="Arial" w:hAnsi="Arial" w:cs="Arial"/>
          <w:u w:val="single"/>
        </w:rPr>
      </w:pPr>
      <w:r w:rsidRPr="00E75F8E">
        <w:rPr>
          <w:rFonts w:ascii="Arial" w:hAnsi="Arial" w:cs="Arial"/>
          <w:u w:val="single"/>
        </w:rPr>
        <w:t>Jak probíhá diferenciace:</w:t>
      </w:r>
    </w:p>
    <w:p w:rsidR="00E75F8E" w:rsidRPr="00E75F8E" w:rsidRDefault="00E75F8E" w:rsidP="00E75F8E">
      <w:pPr>
        <w:pStyle w:val="Odstavecseseznamem"/>
        <w:rPr>
          <w:rFonts w:ascii="Arial" w:hAnsi="Arial" w:cs="Arial"/>
          <w:u w:val="single"/>
        </w:rPr>
      </w:pPr>
    </w:p>
    <w:p w:rsidR="00E75F8E" w:rsidRDefault="00E75F8E" w:rsidP="00E75F8E">
      <w:pPr>
        <w:spacing w:after="40" w:line="240" w:lineRule="auto"/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</w:pPr>
      <w:r w:rsidRPr="00E75F8E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 xml:space="preserve">- </w:t>
      </w:r>
      <w:r w:rsidRPr="00E75F8E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>na úrovni učiva??</w:t>
      </w:r>
    </w:p>
    <w:p w:rsidR="00E75F8E" w:rsidRDefault="00E75F8E" w:rsidP="00E75F8E">
      <w:pPr>
        <w:spacing w:after="40" w:line="240" w:lineRule="auto"/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E75F8E" w:rsidRPr="00E75F8E" w:rsidRDefault="00E75F8E" w:rsidP="00E75F8E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5F8E" w:rsidRDefault="00E75F8E" w:rsidP="00E75F8E">
      <w:pPr>
        <w:spacing w:after="40" w:line="240" w:lineRule="auto"/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</w:pPr>
      <w:r w:rsidRPr="00E75F8E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>- zjišťování výsledků učení??</w:t>
      </w:r>
    </w:p>
    <w:p w:rsidR="00E75F8E" w:rsidRDefault="00E75F8E" w:rsidP="00E75F8E">
      <w:pPr>
        <w:spacing w:after="40" w:line="240" w:lineRule="auto"/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E75F8E" w:rsidRPr="00E75F8E" w:rsidRDefault="00E75F8E" w:rsidP="00E75F8E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5F8E" w:rsidRPr="00E75F8E" w:rsidRDefault="00E75F8E" w:rsidP="00E75F8E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F8E">
        <w:rPr>
          <w:rFonts w:ascii="Arial" w:eastAsia="Arial" w:hAnsi="Arial" w:cs="Arial"/>
          <w:color w:val="000000" w:themeColor="text1"/>
          <w:kern w:val="24"/>
          <w:sz w:val="24"/>
          <w:szCs w:val="24"/>
          <w:lang w:eastAsia="cs-CZ"/>
        </w:rPr>
        <w:t>- hodnocení??</w:t>
      </w:r>
    </w:p>
    <w:p w:rsidR="00711599" w:rsidRDefault="00711599" w:rsidP="00711599"/>
    <w:p w:rsidR="00E75F8E" w:rsidRDefault="00E75F8E" w:rsidP="00711599">
      <w:pPr>
        <w:rPr>
          <w:rFonts w:ascii="Arial" w:hAnsi="Arial" w:cs="Arial"/>
          <w:b/>
          <w:sz w:val="24"/>
          <w:szCs w:val="24"/>
        </w:rPr>
      </w:pPr>
    </w:p>
    <w:p w:rsidR="00E75F8E" w:rsidRDefault="00E75F8E" w:rsidP="00711599">
      <w:pPr>
        <w:rPr>
          <w:rFonts w:ascii="Arial" w:hAnsi="Arial" w:cs="Arial"/>
          <w:b/>
          <w:sz w:val="24"/>
          <w:szCs w:val="24"/>
        </w:rPr>
      </w:pPr>
    </w:p>
    <w:p w:rsidR="00E75F8E" w:rsidRPr="00E75F8E" w:rsidRDefault="00E75F8E" w:rsidP="00711599">
      <w:pPr>
        <w:rPr>
          <w:rFonts w:ascii="Arial" w:hAnsi="Arial" w:cs="Arial"/>
          <w:sz w:val="24"/>
          <w:szCs w:val="24"/>
        </w:rPr>
      </w:pPr>
    </w:p>
    <w:sectPr w:rsidR="00E75F8E" w:rsidRPr="00E7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9CA"/>
    <w:multiLevelType w:val="hybridMultilevel"/>
    <w:tmpl w:val="ED14A2B4"/>
    <w:lvl w:ilvl="0" w:tplc="44D4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A3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0A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A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AF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65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E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0E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73214"/>
    <w:multiLevelType w:val="hybridMultilevel"/>
    <w:tmpl w:val="1126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05C"/>
    <w:multiLevelType w:val="hybridMultilevel"/>
    <w:tmpl w:val="B2C229E6"/>
    <w:lvl w:ilvl="0" w:tplc="E5E078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B3F"/>
    <w:multiLevelType w:val="hybridMultilevel"/>
    <w:tmpl w:val="5EAED7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93FA7"/>
    <w:multiLevelType w:val="hybridMultilevel"/>
    <w:tmpl w:val="53429EBC"/>
    <w:lvl w:ilvl="0" w:tplc="37BA5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6A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8D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0E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05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CE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2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00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4B5169"/>
    <w:multiLevelType w:val="hybridMultilevel"/>
    <w:tmpl w:val="CDB64292"/>
    <w:lvl w:ilvl="0" w:tplc="5D306F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493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CA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A3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05D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06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C0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A4D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69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725"/>
    <w:multiLevelType w:val="hybridMultilevel"/>
    <w:tmpl w:val="A000C272"/>
    <w:lvl w:ilvl="0" w:tplc="277E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8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49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4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A2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F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E4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AC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FF7578"/>
    <w:multiLevelType w:val="hybridMultilevel"/>
    <w:tmpl w:val="7696F79C"/>
    <w:lvl w:ilvl="0" w:tplc="E5E078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D4D29"/>
    <w:multiLevelType w:val="hybridMultilevel"/>
    <w:tmpl w:val="C1543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E2C8E"/>
    <w:multiLevelType w:val="hybridMultilevel"/>
    <w:tmpl w:val="E53CF2D0"/>
    <w:lvl w:ilvl="0" w:tplc="BB3A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C3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AF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0A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67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60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C4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87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421306"/>
    <w:multiLevelType w:val="hybridMultilevel"/>
    <w:tmpl w:val="E048A872"/>
    <w:lvl w:ilvl="0" w:tplc="BAF4B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40C8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E20C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4EC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80A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6D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CC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845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82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B4F52C8"/>
    <w:multiLevelType w:val="hybridMultilevel"/>
    <w:tmpl w:val="FA5C3CD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6E"/>
    <w:rsid w:val="00495054"/>
    <w:rsid w:val="00655244"/>
    <w:rsid w:val="00711599"/>
    <w:rsid w:val="008642E2"/>
    <w:rsid w:val="00922148"/>
    <w:rsid w:val="009F6D6E"/>
    <w:rsid w:val="00B22981"/>
    <w:rsid w:val="00BA7BB7"/>
    <w:rsid w:val="00DF5433"/>
    <w:rsid w:val="00E75F8E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E095"/>
  <w15:chartTrackingRefBased/>
  <w15:docId w15:val="{33FC0618-3FBC-4041-9273-E81BCC2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1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0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3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70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7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7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1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Lenka Špačková</cp:lastModifiedBy>
  <cp:revision>3</cp:revision>
  <cp:lastPrinted>2018-10-14T17:24:00Z</cp:lastPrinted>
  <dcterms:created xsi:type="dcterms:W3CDTF">2023-11-21T18:19:00Z</dcterms:created>
  <dcterms:modified xsi:type="dcterms:W3CDTF">2023-11-21T18:23:00Z</dcterms:modified>
</cp:coreProperties>
</file>