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3A" w:rsidRPr="00A64367" w:rsidRDefault="0074523A" w:rsidP="004C47F7">
      <w:pPr>
        <w:spacing w:line="360" w:lineRule="auto"/>
        <w:rPr>
          <w:b/>
        </w:rPr>
      </w:pPr>
      <w:r w:rsidRPr="00A64367">
        <w:rPr>
          <w:b/>
        </w:rPr>
        <w:t>VALENCE - pokračování</w:t>
      </w:r>
    </w:p>
    <w:p w:rsidR="0074523A" w:rsidRDefault="0074523A" w:rsidP="004C47F7">
      <w:pPr>
        <w:spacing w:line="360" w:lineRule="auto"/>
      </w:pPr>
    </w:p>
    <w:p w:rsidR="004C47F7" w:rsidRPr="004F70C5" w:rsidRDefault="004C47F7" w:rsidP="004C47F7">
      <w:pPr>
        <w:spacing w:line="360" w:lineRule="auto"/>
      </w:pPr>
      <w:r w:rsidRPr="004F70C5">
        <w:t xml:space="preserve">Souhrn valenčních pozic slovesa tvoří jeho </w:t>
      </w:r>
      <w:r w:rsidRPr="004F70C5">
        <w:rPr>
          <w:b/>
        </w:rPr>
        <w:t>valenční pole</w:t>
      </w:r>
      <w:r w:rsidRPr="004F70C5">
        <w:t>.</w:t>
      </w:r>
      <w:r w:rsidR="00A64367">
        <w:t xml:space="preserve"> Valenční pole přísudkového slovesa ve větě podmětové (dvojčlenné) tvoří vždy podmět a další valenční členy, které </w:t>
      </w:r>
    </w:p>
    <w:p w:rsidR="00A64367" w:rsidRDefault="004C47F7" w:rsidP="004C47F7">
      <w:pPr>
        <w:spacing w:line="360" w:lineRule="auto"/>
        <w:rPr>
          <w:rStyle w:val="Znakapoznpodarou"/>
        </w:rPr>
      </w:pPr>
      <w:r w:rsidRPr="004F70C5">
        <w:t xml:space="preserve">se nazývají </w:t>
      </w:r>
      <w:r w:rsidR="00A64367">
        <w:rPr>
          <w:b/>
        </w:rPr>
        <w:t>komplementy.</w:t>
      </w:r>
    </w:p>
    <w:p w:rsidR="00A64367" w:rsidRDefault="00A64367" w:rsidP="004C47F7">
      <w:pPr>
        <w:spacing w:line="360" w:lineRule="auto"/>
        <w:rPr>
          <w:b/>
        </w:rPr>
      </w:pP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t xml:space="preserve">Větné členy, které neobsazují valenční pozice, jsou </w:t>
      </w:r>
      <w:r w:rsidRPr="004F70C5">
        <w:rPr>
          <w:b/>
        </w:rPr>
        <w:t>členy fakultativní</w:t>
      </w:r>
      <w:r w:rsidRPr="004F70C5">
        <w:t xml:space="preserve"> (</w:t>
      </w:r>
      <w:r w:rsidRPr="004F70C5">
        <w:rPr>
          <w:b/>
        </w:rPr>
        <w:t>nekonstitutivní</w:t>
      </w:r>
      <w:r w:rsidRPr="004F70C5">
        <w:t xml:space="preserve">) (většinou jsou to příslovečná určení nebo doplněk). </w:t>
      </w:r>
    </w:p>
    <w:p w:rsidR="004C47F7" w:rsidRPr="004F70C5" w:rsidRDefault="004C47F7" w:rsidP="004C47F7">
      <w:pPr>
        <w:spacing w:line="360" w:lineRule="auto"/>
      </w:pPr>
      <w:r w:rsidRPr="004F70C5">
        <w:t>● Ani užití větných členů, které jsou komplementy, nemusí být v konkrétní větě vždy nutné. Tyto členy mohou být:</w:t>
      </w:r>
    </w:p>
    <w:p w:rsidR="004C47F7" w:rsidRPr="004F70C5" w:rsidRDefault="004C47F7" w:rsidP="004C47F7">
      <w:pPr>
        <w:spacing w:line="360" w:lineRule="auto"/>
      </w:pPr>
      <w:r w:rsidRPr="004F70C5">
        <w:t xml:space="preserve">– obligatorní/nutné, je-li nemožné jejich eliptické vypuštění; obligatorní je např. příslovečné určení způsobu ve větách se slovesy </w:t>
      </w:r>
      <w:r w:rsidRPr="004F70C5">
        <w:rPr>
          <w:i/>
        </w:rPr>
        <w:t>chovat se, počínat si, tvářit se</w:t>
      </w:r>
      <w:r w:rsidRPr="004F70C5">
        <w:t>, předmět ve větách se slovesy koupit</w:t>
      </w:r>
      <w:r w:rsidRPr="004F70C5">
        <w:rPr>
          <w:i/>
        </w:rPr>
        <w:t>, dotýkat se, zříct se, zabývat se,</w:t>
      </w:r>
      <w:r w:rsidRPr="004F70C5">
        <w:t xml:space="preserve"> doplněk ve větách se slovesem </w:t>
      </w:r>
      <w:r w:rsidRPr="004F70C5">
        <w:rPr>
          <w:i/>
        </w:rPr>
        <w:t>považovat</w:t>
      </w:r>
      <w:r w:rsidRPr="004F70C5">
        <w:t>;</w:t>
      </w:r>
    </w:p>
    <w:p w:rsidR="004C47F7" w:rsidRPr="004F70C5" w:rsidRDefault="004C47F7" w:rsidP="004C47F7">
      <w:pPr>
        <w:spacing w:line="360" w:lineRule="auto"/>
      </w:pPr>
      <w:r w:rsidRPr="004F70C5">
        <w:t xml:space="preserve">– potenciální, je-li současně možné jejich eliptické vypuštění; potenciálním větným členem bývá v češtině podmět zejména ve větách s přísudkovým slovesem ve tvaru </w:t>
      </w:r>
      <w:smartTag w:uri="urn:schemas-microsoft-com:office:smarttags" w:element="metricconverter">
        <w:smartTagPr>
          <w:attr w:name="ProductID" w:val="1. a"/>
        </w:smartTagPr>
        <w:r w:rsidRPr="004F70C5">
          <w:t>1. a</w:t>
        </w:r>
      </w:smartTag>
      <w:r w:rsidRPr="004F70C5">
        <w:t xml:space="preserve"> 2. osoby. </w:t>
      </w:r>
    </w:p>
    <w:p w:rsidR="004C47F7" w:rsidRPr="004F70C5" w:rsidRDefault="004C47F7" w:rsidP="004C47F7">
      <w:pPr>
        <w:spacing w:line="360" w:lineRule="auto"/>
      </w:pPr>
    </w:p>
    <w:p w:rsidR="004C47F7" w:rsidRPr="004F70C5" w:rsidRDefault="004C47F7" w:rsidP="004C47F7">
      <w:pPr>
        <w:spacing w:line="360" w:lineRule="auto"/>
      </w:pPr>
      <w:r w:rsidRPr="004F70C5">
        <w:t xml:space="preserve">Větnou strukturu zapisujeme </w:t>
      </w:r>
      <w:r w:rsidRPr="004F70C5">
        <w:rPr>
          <w:b/>
        </w:rPr>
        <w:t>gramatickým větným vzorcem</w:t>
      </w:r>
      <w:r w:rsidRPr="004F70C5">
        <w:t>. Při zápisu užíváme následujících symboly:</w:t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VF</w:t>
      </w:r>
      <w:r w:rsidRPr="004F70C5">
        <w:t xml:space="preserve"> = verbum finitum (určité sloveso); tímto symbolem ovšem zapisujeme pouze sloveso plnovýznamové, v přísudku se však též vyskytují slovesa sponová, slovesa modální a fázová, tato slovesa zapisujeme: </w:t>
      </w:r>
      <w:r w:rsidRPr="004F70C5">
        <w:rPr>
          <w:b/>
          <w:i/>
        </w:rPr>
        <w:t>VFcop</w:t>
      </w:r>
      <w:r w:rsidRPr="004F70C5">
        <w:rPr>
          <w:b/>
        </w:rPr>
        <w:t xml:space="preserve"> </w:t>
      </w:r>
      <w:r w:rsidRPr="004F70C5">
        <w:t xml:space="preserve">– sloveso sponové, </w:t>
      </w:r>
      <w:r w:rsidRPr="004F70C5">
        <w:rPr>
          <w:b/>
          <w:i/>
        </w:rPr>
        <w:t>VFmod</w:t>
      </w:r>
      <w:r w:rsidRPr="004F70C5">
        <w:rPr>
          <w:i/>
        </w:rPr>
        <w:t xml:space="preserve"> </w:t>
      </w:r>
      <w:r w:rsidRPr="004F70C5">
        <w:t xml:space="preserve">– sloveso modální, </w:t>
      </w:r>
      <w:r w:rsidRPr="004F70C5">
        <w:rPr>
          <w:b/>
          <w:i/>
        </w:rPr>
        <w:t>VFfá</w:t>
      </w:r>
      <w:r w:rsidRPr="004F70C5">
        <w:rPr>
          <w:i/>
        </w:rPr>
        <w:t xml:space="preserve">z </w:t>
      </w:r>
      <w:r w:rsidRPr="004F70C5">
        <w:t xml:space="preserve">– sloveso fázové, </w:t>
      </w:r>
      <w:r w:rsidRPr="004F70C5">
        <w:rPr>
          <w:b/>
          <w:i/>
        </w:rPr>
        <w:t>INF</w:t>
      </w:r>
      <w:r w:rsidRPr="004F70C5">
        <w:t xml:space="preserve"> – infinitiv slovesa </w:t>
      </w:r>
    </w:p>
    <w:p w:rsidR="004C47F7" w:rsidRPr="004F70C5" w:rsidRDefault="004C47F7" w:rsidP="004C47F7">
      <w:pPr>
        <w:spacing w:line="360" w:lineRule="auto"/>
      </w:pPr>
      <w:r w:rsidRPr="004F70C5">
        <w:t>●</w:t>
      </w:r>
      <w:r w:rsidRPr="004F70C5">
        <w:rPr>
          <w:b/>
        </w:rPr>
        <w:t xml:space="preserve"> S</w:t>
      </w:r>
      <w:r w:rsidRPr="004F70C5">
        <w:rPr>
          <w:b/>
          <w:vertAlign w:val="subscript"/>
        </w:rPr>
        <w:t>1</w:t>
      </w:r>
      <w:r w:rsidRPr="004F70C5">
        <w:rPr>
          <w:vertAlign w:val="subscript"/>
        </w:rPr>
        <w:t xml:space="preserve"> </w:t>
      </w:r>
      <w:r w:rsidRPr="004F70C5">
        <w:t>– podmět nebo přísudkové podstatné jméno v 1. pádě</w:t>
      </w:r>
    </w:p>
    <w:p w:rsidR="004C47F7" w:rsidRPr="004F70C5" w:rsidRDefault="004C47F7" w:rsidP="004C47F7">
      <w:pPr>
        <w:spacing w:line="360" w:lineRule="auto"/>
        <w:rPr>
          <w:vertAlign w:val="subscript"/>
        </w:rPr>
      </w:pPr>
      <w:r w:rsidRPr="004F70C5">
        <w:t xml:space="preserve">● </w:t>
      </w:r>
      <w:r w:rsidRPr="004F70C5">
        <w:rPr>
          <w:b/>
        </w:rPr>
        <w:t>S</w:t>
      </w:r>
      <w:r w:rsidRPr="004F70C5">
        <w:rPr>
          <w:b/>
          <w:vertAlign w:val="subscript"/>
        </w:rPr>
        <w:t>2</w:t>
      </w:r>
      <w:r w:rsidRPr="004F70C5">
        <w:rPr>
          <w:b/>
        </w:rPr>
        <w:t>, S</w:t>
      </w:r>
      <w:r w:rsidRPr="004F70C5">
        <w:rPr>
          <w:b/>
          <w:vertAlign w:val="subscript"/>
        </w:rPr>
        <w:t>3</w:t>
      </w:r>
      <w:r w:rsidRPr="004F70C5">
        <w:rPr>
          <w:b/>
        </w:rPr>
        <w:t>, S</w:t>
      </w:r>
      <w:r w:rsidRPr="004F70C5">
        <w:rPr>
          <w:b/>
          <w:vertAlign w:val="subscript"/>
        </w:rPr>
        <w:t>4</w:t>
      </w:r>
      <w:r w:rsidRPr="004F70C5">
        <w:rPr>
          <w:b/>
        </w:rPr>
        <w:t>, S</w:t>
      </w:r>
      <w:r w:rsidRPr="004F70C5">
        <w:rPr>
          <w:b/>
          <w:vertAlign w:val="subscript"/>
        </w:rPr>
        <w:t>7</w:t>
      </w:r>
      <w:r w:rsidRPr="004F70C5">
        <w:rPr>
          <w:vertAlign w:val="subscript"/>
        </w:rPr>
        <w:t xml:space="preserve"> </w:t>
      </w:r>
      <w:r w:rsidRPr="004F70C5">
        <w:t>– předmět v bezpředložkovém pádu nebo jmenná část přísudku</w:t>
      </w:r>
    </w:p>
    <w:p w:rsidR="004C47F7" w:rsidRPr="004F70C5" w:rsidRDefault="004C47F7" w:rsidP="004C47F7">
      <w:pPr>
        <w:spacing w:line="360" w:lineRule="auto"/>
      </w:pPr>
      <w:r w:rsidRPr="004F70C5">
        <w:t>●</w:t>
      </w:r>
      <w:r w:rsidRPr="004F70C5">
        <w:rPr>
          <w:i/>
        </w:rPr>
        <w:t xml:space="preserve"> na</w:t>
      </w:r>
      <w:r w:rsidRPr="004F70C5">
        <w:t xml:space="preserve">  S</w:t>
      </w:r>
      <w:r w:rsidRPr="004F70C5">
        <w:rPr>
          <w:vertAlign w:val="subscript"/>
        </w:rPr>
        <w:t>4</w:t>
      </w:r>
      <w:r w:rsidRPr="004F70C5">
        <w:t xml:space="preserve">, </w:t>
      </w:r>
      <w:r w:rsidRPr="004F70C5">
        <w:rPr>
          <w:i/>
        </w:rPr>
        <w:t>o</w:t>
      </w:r>
      <w:r w:rsidRPr="004F70C5">
        <w:t xml:space="preserve"> S </w:t>
      </w:r>
      <w:r w:rsidRPr="004F70C5">
        <w:rPr>
          <w:vertAlign w:val="subscript"/>
        </w:rPr>
        <w:t>6</w:t>
      </w:r>
      <w:r w:rsidRPr="004F70C5">
        <w:t xml:space="preserve">, </w:t>
      </w:r>
      <w:r w:rsidRPr="004F70C5">
        <w:rPr>
          <w:i/>
        </w:rPr>
        <w:t>s</w:t>
      </w:r>
      <w:r w:rsidRPr="004F70C5">
        <w:t xml:space="preserve"> S</w:t>
      </w:r>
      <w:r w:rsidRPr="004F70C5">
        <w:rPr>
          <w:vertAlign w:val="subscript"/>
        </w:rPr>
        <w:t>7</w:t>
      </w:r>
      <w:r w:rsidRPr="004F70C5">
        <w:t>…–  předmět nebo jmenná část přísudku v předložkovém pádě</w:t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ADJ</w:t>
      </w:r>
      <w:r w:rsidRPr="004F70C5">
        <w:t xml:space="preserve"> – přídavné jméno (= adjektivum) jako jmenná část přísudku</w:t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NUM</w:t>
      </w:r>
      <w:r w:rsidRPr="004F70C5">
        <w:t xml:space="preserve"> – číslovka (= numeralia) jako jmenná část přísudku</w:t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ADV</w:t>
      </w:r>
      <w:r w:rsidRPr="004F70C5">
        <w:t xml:space="preserve"> – příslovečné určení vyjádřené jak příslovcem, tak tvarem substantiva:</w:t>
      </w:r>
      <w:r w:rsidRPr="004F70C5">
        <w:rPr>
          <w:b/>
        </w:rPr>
        <w:t xml:space="preserve"> </w:t>
      </w:r>
      <w:r w:rsidRPr="004F70C5">
        <w:rPr>
          <w:b/>
          <w:i/>
        </w:rPr>
        <w:t>ADVmod</w:t>
      </w:r>
      <w:r w:rsidRPr="004F70C5">
        <w:rPr>
          <w:i/>
        </w:rPr>
        <w:t xml:space="preserve"> </w:t>
      </w:r>
      <w:r w:rsidRPr="004F70C5">
        <w:t xml:space="preserve">– příslovečné určení způsobu (= modální): </w:t>
      </w:r>
      <w:r w:rsidRPr="004F70C5">
        <w:rPr>
          <w:b/>
          <w:i/>
        </w:rPr>
        <w:t>ADVloc</w:t>
      </w:r>
      <w:r w:rsidRPr="004F70C5">
        <w:rPr>
          <w:b/>
        </w:rPr>
        <w:t xml:space="preserve"> </w:t>
      </w:r>
      <w:r w:rsidRPr="004F70C5">
        <w:t xml:space="preserve">– příslovečné určení místa (= lokalizační): </w:t>
      </w:r>
      <w:r w:rsidRPr="004F70C5">
        <w:rPr>
          <w:b/>
          <w:i/>
        </w:rPr>
        <w:t>ADVdir</w:t>
      </w:r>
      <w:r w:rsidRPr="004F70C5">
        <w:rPr>
          <w:i/>
        </w:rPr>
        <w:t xml:space="preserve"> </w:t>
      </w:r>
      <w:r w:rsidRPr="004F70C5">
        <w:t xml:space="preserve">– příslovečné určení směru (= direktivní), </w:t>
      </w:r>
      <w:r w:rsidRPr="004F70C5">
        <w:rPr>
          <w:b/>
          <w:i/>
        </w:rPr>
        <w:t>ADVinstr</w:t>
      </w:r>
      <w:r w:rsidRPr="004F70C5">
        <w:rPr>
          <w:i/>
        </w:rPr>
        <w:t xml:space="preserve"> </w:t>
      </w:r>
      <w:r w:rsidRPr="004F70C5">
        <w:t xml:space="preserve">– příslovečné určení nástroje / prostředku (= instrumentální), </w:t>
      </w:r>
      <w:r w:rsidRPr="004F70C5">
        <w:rPr>
          <w:b/>
          <w:i/>
        </w:rPr>
        <w:t>ADVúčel</w:t>
      </w:r>
      <w:r w:rsidRPr="004F70C5">
        <w:rPr>
          <w:b/>
        </w:rPr>
        <w:t xml:space="preserve"> </w:t>
      </w:r>
      <w:r w:rsidRPr="004F70C5">
        <w:t xml:space="preserve">– příslovečné určení účelu </w:t>
      </w:r>
    </w:p>
    <w:p w:rsidR="004C47F7" w:rsidRPr="004F70C5" w:rsidRDefault="004C47F7" w:rsidP="004C47F7">
      <w:pPr>
        <w:rPr>
          <w:sz w:val="20"/>
          <w:szCs w:val="20"/>
        </w:rPr>
      </w:pPr>
      <w:r w:rsidRPr="004F70C5">
        <w:rPr>
          <w:b/>
          <w:sz w:val="20"/>
          <w:szCs w:val="20"/>
        </w:rPr>
        <w:t>Upozornění</w:t>
      </w:r>
      <w:r w:rsidRPr="004F70C5">
        <w:rPr>
          <w:sz w:val="20"/>
          <w:szCs w:val="20"/>
        </w:rPr>
        <w:t>: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 xml:space="preserve">●  Příslovečné určení se zapisuje vždy symbolem </w:t>
      </w:r>
      <w:r w:rsidRPr="00D37168">
        <w:rPr>
          <w:b/>
          <w:sz w:val="20"/>
          <w:szCs w:val="20"/>
          <w:highlight w:val="lightGray"/>
        </w:rPr>
        <w:t>ADV</w:t>
      </w:r>
      <w:r w:rsidRPr="00D37168">
        <w:rPr>
          <w:sz w:val="20"/>
          <w:szCs w:val="20"/>
          <w:highlight w:val="lightGray"/>
        </w:rPr>
        <w:t xml:space="preserve">, nikoliv jako např. na S (jako </w:t>
      </w:r>
      <w:r w:rsidRPr="00D37168">
        <w:rPr>
          <w:i/>
          <w:sz w:val="20"/>
          <w:szCs w:val="20"/>
          <w:highlight w:val="lightGray"/>
        </w:rPr>
        <w:t>prep</w:t>
      </w:r>
      <w:r w:rsidRPr="00D37168">
        <w:rPr>
          <w:sz w:val="20"/>
          <w:szCs w:val="20"/>
          <w:highlight w:val="lightGray"/>
        </w:rPr>
        <w:t xml:space="preserve"> S je nezapisujeme ani tehdy, je-li vyjádřeno skutečně pádem podstatného jména).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Příklad:</w:t>
      </w:r>
      <w:r w:rsidRPr="00D37168">
        <w:rPr>
          <w:i/>
          <w:sz w:val="20"/>
          <w:szCs w:val="20"/>
          <w:highlight w:val="lightGray"/>
        </w:rPr>
        <w:t xml:space="preserve"> Kamarád bydlí v Praze.</w:t>
      </w:r>
      <w:r w:rsidRPr="00D37168">
        <w:rPr>
          <w:sz w:val="20"/>
          <w:szCs w:val="20"/>
          <w:highlight w:val="lightGray"/>
        </w:rPr>
        <w:t xml:space="preserve">  Gramatický větný vzorec: </w:t>
      </w:r>
      <w:r w:rsidRPr="00D37168">
        <w:rPr>
          <w:b/>
          <w:sz w:val="20"/>
          <w:szCs w:val="20"/>
          <w:highlight w:val="lightGray"/>
        </w:rPr>
        <w:t xml:space="preserve">S1 – VF – ADVloc  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ab/>
        <w:t xml:space="preserve">   S1</w:t>
      </w:r>
      <w:r w:rsidRPr="00D37168">
        <w:rPr>
          <w:sz w:val="20"/>
          <w:szCs w:val="20"/>
          <w:highlight w:val="lightGray"/>
        </w:rPr>
        <w:tab/>
        <w:t xml:space="preserve">        VF      ADVloc</w:t>
      </w: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  <w:t xml:space="preserve"> </w:t>
      </w:r>
      <w:r w:rsidRPr="00D37168">
        <w:rPr>
          <w:sz w:val="20"/>
          <w:szCs w:val="20"/>
          <w:highlight w:val="lightGray"/>
        </w:rPr>
        <w:tab/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>●   Do větného vzorce zapisujeme komplementy, nikoliv větné členy fakultativní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Příklad</w:t>
      </w:r>
      <w:r w:rsidRPr="00D37168">
        <w:rPr>
          <w:sz w:val="20"/>
          <w:szCs w:val="20"/>
          <w:highlight w:val="lightGray"/>
        </w:rPr>
        <w:t xml:space="preserve">: </w:t>
      </w:r>
      <w:r w:rsidRPr="00D37168">
        <w:rPr>
          <w:i/>
          <w:sz w:val="20"/>
          <w:szCs w:val="20"/>
          <w:highlight w:val="lightGray"/>
        </w:rPr>
        <w:t xml:space="preserve">Moje </w:t>
      </w:r>
      <w:r w:rsidRPr="00D37168">
        <w:rPr>
          <w:b/>
          <w:i/>
          <w:sz w:val="20"/>
          <w:szCs w:val="20"/>
          <w:highlight w:val="lightGray"/>
        </w:rPr>
        <w:t>sestra</w:t>
      </w:r>
      <w:r w:rsidRPr="00D37168">
        <w:rPr>
          <w:i/>
          <w:sz w:val="20"/>
          <w:szCs w:val="20"/>
          <w:highlight w:val="lightGray"/>
        </w:rPr>
        <w:t xml:space="preserve"> před týdnem </w:t>
      </w:r>
      <w:r w:rsidRPr="00D37168">
        <w:rPr>
          <w:b/>
          <w:i/>
          <w:sz w:val="20"/>
          <w:szCs w:val="20"/>
          <w:highlight w:val="lightGray"/>
        </w:rPr>
        <w:t>koupila</w:t>
      </w:r>
      <w:r w:rsidRPr="00D37168">
        <w:rPr>
          <w:i/>
          <w:sz w:val="20"/>
          <w:szCs w:val="20"/>
          <w:highlight w:val="lightGray"/>
        </w:rPr>
        <w:t xml:space="preserve"> nový </w:t>
      </w:r>
      <w:r w:rsidRPr="00D37168">
        <w:rPr>
          <w:b/>
          <w:i/>
          <w:sz w:val="20"/>
          <w:szCs w:val="20"/>
          <w:highlight w:val="lightGray"/>
        </w:rPr>
        <w:t>byt</w:t>
      </w:r>
      <w:r w:rsidRPr="00D37168">
        <w:rPr>
          <w:sz w:val="20"/>
          <w:szCs w:val="20"/>
          <w:highlight w:val="lightGray"/>
        </w:rPr>
        <w:t>.</w:t>
      </w:r>
      <w:r w:rsidRPr="00D37168">
        <w:rPr>
          <w:sz w:val="20"/>
          <w:szCs w:val="20"/>
          <w:highlight w:val="lightGray"/>
        </w:rPr>
        <w:tab/>
        <w:t xml:space="preserve">    Gramatický větný vzorec: S1 – VF – S4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  <w:t>S1                           VF</w:t>
      </w:r>
      <w:r w:rsidRPr="00D37168">
        <w:rPr>
          <w:sz w:val="20"/>
          <w:szCs w:val="20"/>
          <w:highlight w:val="lightGray"/>
        </w:rPr>
        <w:tab/>
        <w:t xml:space="preserve">    S4</w:t>
      </w:r>
      <w:r w:rsidRPr="00D37168">
        <w:rPr>
          <w:sz w:val="20"/>
          <w:szCs w:val="20"/>
          <w:highlight w:val="lightGray"/>
        </w:rPr>
        <w:tab/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 xml:space="preserve">(Slova </w:t>
      </w:r>
      <w:r w:rsidRPr="00D37168">
        <w:rPr>
          <w:i/>
          <w:sz w:val="20"/>
          <w:szCs w:val="20"/>
          <w:highlight w:val="lightGray"/>
        </w:rPr>
        <w:t>moje</w:t>
      </w:r>
      <w:r w:rsidRPr="00D37168">
        <w:rPr>
          <w:sz w:val="20"/>
          <w:szCs w:val="20"/>
          <w:highlight w:val="lightGray"/>
        </w:rPr>
        <w:t>,</w:t>
      </w:r>
      <w:r w:rsidRPr="00D37168">
        <w:rPr>
          <w:i/>
          <w:sz w:val="20"/>
          <w:szCs w:val="20"/>
          <w:highlight w:val="lightGray"/>
        </w:rPr>
        <w:t xml:space="preserve"> před týdnem</w:t>
      </w:r>
      <w:r w:rsidRPr="00D37168">
        <w:rPr>
          <w:sz w:val="20"/>
          <w:szCs w:val="20"/>
          <w:highlight w:val="lightGray"/>
        </w:rPr>
        <w:t xml:space="preserve">, </w:t>
      </w:r>
      <w:r w:rsidRPr="00D37168">
        <w:rPr>
          <w:i/>
          <w:sz w:val="20"/>
          <w:szCs w:val="20"/>
          <w:highlight w:val="lightGray"/>
        </w:rPr>
        <w:t>nový</w:t>
      </w:r>
      <w:r w:rsidRPr="00D37168">
        <w:rPr>
          <w:sz w:val="20"/>
          <w:szCs w:val="20"/>
          <w:highlight w:val="lightGray"/>
        </w:rPr>
        <w:t xml:space="preserve"> nejsou komplementy, do větného vzorce tedy nepatří).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 xml:space="preserve">●   Komplementy nevyjádřené (např. nevyjádřený podmět) do vzorce zapíšeme v závorce, srov.: </w:t>
      </w:r>
      <w:r w:rsidRPr="00D37168">
        <w:rPr>
          <w:i/>
          <w:sz w:val="20"/>
          <w:szCs w:val="20"/>
          <w:highlight w:val="lightGray"/>
        </w:rPr>
        <w:t>Choval se zvláštně.</w:t>
      </w:r>
      <w:r w:rsidRPr="00D37168">
        <w:rPr>
          <w:sz w:val="20"/>
          <w:szCs w:val="20"/>
          <w:highlight w:val="lightGray"/>
        </w:rPr>
        <w:t xml:space="preserve"> (S</w:t>
      </w:r>
      <w:r w:rsidRPr="00D37168">
        <w:rPr>
          <w:sz w:val="20"/>
          <w:szCs w:val="20"/>
          <w:highlight w:val="lightGray"/>
          <w:vertAlign w:val="subscript"/>
        </w:rPr>
        <w:t>1</w:t>
      </w:r>
      <w:r w:rsidRPr="00D37168">
        <w:rPr>
          <w:sz w:val="20"/>
          <w:szCs w:val="20"/>
          <w:highlight w:val="lightGray"/>
        </w:rPr>
        <w:t>)</w:t>
      </w:r>
      <w:r w:rsidRPr="00D37168">
        <w:rPr>
          <w:b/>
          <w:sz w:val="20"/>
          <w:szCs w:val="20"/>
          <w:highlight w:val="lightGray"/>
        </w:rPr>
        <w:t xml:space="preserve"> </w:t>
      </w:r>
      <w:r w:rsidRPr="00D37168">
        <w:rPr>
          <w:sz w:val="20"/>
          <w:szCs w:val="20"/>
          <w:highlight w:val="lightGray"/>
        </w:rPr>
        <w:t>– VF – ADVmod</w:t>
      </w:r>
    </w:p>
    <w:p w:rsidR="004C47F7" w:rsidRPr="00D37168" w:rsidRDefault="004C47F7" w:rsidP="004C47F7">
      <w:pPr>
        <w:spacing w:line="360" w:lineRule="auto"/>
        <w:rPr>
          <w:sz w:val="20"/>
          <w:szCs w:val="20"/>
          <w:highlight w:val="lightGray"/>
        </w:rPr>
      </w:pPr>
    </w:p>
    <w:p w:rsidR="004C47F7" w:rsidRPr="00D37168" w:rsidRDefault="004C47F7" w:rsidP="004C47F7">
      <w:pPr>
        <w:spacing w:line="360" w:lineRule="auto"/>
      </w:pPr>
      <w:r w:rsidRPr="00D37168">
        <w:t>Zápis jednotlivých typů přísudků podle struktury:</w:t>
      </w:r>
    </w:p>
    <w:p w:rsidR="004C47F7" w:rsidRPr="00D37168" w:rsidRDefault="004C47F7" w:rsidP="004C47F7">
      <w:pPr>
        <w:spacing w:line="360" w:lineRule="auto"/>
        <w:rPr>
          <w:sz w:val="20"/>
          <w:szCs w:val="20"/>
        </w:rPr>
      </w:pPr>
      <w:r w:rsidRPr="00D37168">
        <w:rPr>
          <w:sz w:val="20"/>
          <w:szCs w:val="20"/>
        </w:rPr>
        <w:t>– přísudek slovesný jednoduchý: Stromy</w:t>
      </w:r>
      <w:r w:rsidRPr="00D37168">
        <w:rPr>
          <w:i/>
          <w:sz w:val="20"/>
          <w:szCs w:val="20"/>
        </w:rPr>
        <w:t xml:space="preserve"> rozkvetly</w:t>
      </w:r>
      <w:r w:rsidRPr="00D37168">
        <w:rPr>
          <w:sz w:val="20"/>
          <w:szCs w:val="20"/>
        </w:rPr>
        <w:t>. S</w:t>
      </w:r>
      <w:r w:rsidRPr="00D37168">
        <w:rPr>
          <w:sz w:val="20"/>
          <w:szCs w:val="20"/>
          <w:vertAlign w:val="subscript"/>
        </w:rPr>
        <w:t xml:space="preserve">1 </w:t>
      </w:r>
      <w:r w:rsidRPr="00D37168">
        <w:rPr>
          <w:sz w:val="20"/>
          <w:szCs w:val="20"/>
        </w:rPr>
        <w:t xml:space="preserve">– </w:t>
      </w:r>
      <w:r w:rsidRPr="00D37168">
        <w:rPr>
          <w:b/>
          <w:sz w:val="20"/>
          <w:szCs w:val="20"/>
        </w:rPr>
        <w:t>VF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D37168">
        <w:rPr>
          <w:sz w:val="20"/>
          <w:szCs w:val="20"/>
        </w:rPr>
        <w:t>– přísudek slovesný složený: Stromy</w:t>
      </w:r>
      <w:r w:rsidRPr="00D37168">
        <w:rPr>
          <w:i/>
          <w:sz w:val="20"/>
          <w:szCs w:val="20"/>
        </w:rPr>
        <w:t xml:space="preserve"> začínají</w:t>
      </w:r>
      <w:r w:rsidRPr="004F70C5">
        <w:rPr>
          <w:i/>
          <w:sz w:val="20"/>
          <w:szCs w:val="20"/>
        </w:rPr>
        <w:t xml:space="preserve"> kvést.</w:t>
      </w:r>
      <w:r w:rsidRPr="004F70C5">
        <w:rPr>
          <w:sz w:val="20"/>
          <w:szCs w:val="20"/>
        </w:rPr>
        <w:t xml:space="preserve">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</w:t>
      </w:r>
      <w:r w:rsidRPr="004F70C5">
        <w:rPr>
          <w:b/>
          <w:sz w:val="20"/>
          <w:szCs w:val="20"/>
        </w:rPr>
        <w:t>VFfáz + INF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4F70C5">
        <w:rPr>
          <w:sz w:val="20"/>
          <w:szCs w:val="20"/>
        </w:rPr>
        <w:t>– přísudek slovesně-jmenný: Stromy už</w:t>
      </w:r>
      <w:r w:rsidRPr="004F70C5">
        <w:rPr>
          <w:i/>
          <w:sz w:val="20"/>
          <w:szCs w:val="20"/>
        </w:rPr>
        <w:t xml:space="preserve"> jsou rozkvetlé.</w:t>
      </w:r>
      <w:r w:rsidRPr="004F70C5">
        <w:rPr>
          <w:sz w:val="20"/>
          <w:szCs w:val="20"/>
        </w:rPr>
        <w:t xml:space="preserve">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</w:t>
      </w:r>
      <w:r w:rsidRPr="004F70C5">
        <w:rPr>
          <w:b/>
          <w:sz w:val="20"/>
          <w:szCs w:val="20"/>
        </w:rPr>
        <w:t xml:space="preserve">VFcop + ADJ; </w:t>
      </w:r>
      <w:r w:rsidRPr="004F70C5">
        <w:rPr>
          <w:sz w:val="20"/>
          <w:szCs w:val="20"/>
        </w:rPr>
        <w:t>Velryba</w:t>
      </w:r>
      <w:r w:rsidRPr="004F70C5">
        <w:rPr>
          <w:i/>
          <w:sz w:val="20"/>
          <w:szCs w:val="20"/>
        </w:rPr>
        <w:t xml:space="preserve"> je savec.</w:t>
      </w:r>
      <w:r w:rsidRPr="004F70C5">
        <w:rPr>
          <w:sz w:val="20"/>
          <w:szCs w:val="20"/>
        </w:rPr>
        <w:t xml:space="preserve">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</w:t>
      </w:r>
      <w:r w:rsidRPr="004F70C5">
        <w:rPr>
          <w:b/>
          <w:sz w:val="20"/>
          <w:szCs w:val="20"/>
        </w:rPr>
        <w:t>VFcop + S</w:t>
      </w:r>
      <w:r w:rsidRPr="004F70C5">
        <w:rPr>
          <w:b/>
          <w:sz w:val="20"/>
          <w:szCs w:val="20"/>
          <w:vertAlign w:val="subscript"/>
        </w:rPr>
        <w:t>1</w:t>
      </w:r>
    </w:p>
    <w:p w:rsidR="004C47F7" w:rsidRPr="004F70C5" w:rsidRDefault="004C47F7" w:rsidP="004C47F7">
      <w:pPr>
        <w:spacing w:line="360" w:lineRule="auto"/>
      </w:pPr>
      <w:r w:rsidRPr="004F70C5">
        <w:rPr>
          <w:sz w:val="20"/>
          <w:szCs w:val="20"/>
        </w:rPr>
        <w:tab/>
      </w:r>
      <w:r w:rsidRPr="004F70C5">
        <w:rPr>
          <w:sz w:val="20"/>
          <w:szCs w:val="20"/>
        </w:rPr>
        <w:tab/>
      </w:r>
      <w:r w:rsidRPr="004F70C5">
        <w:rPr>
          <w:sz w:val="20"/>
          <w:szCs w:val="20"/>
        </w:rPr>
        <w:tab/>
      </w:r>
      <w:r w:rsidRPr="004F70C5">
        <w:rPr>
          <w:sz w:val="20"/>
          <w:szCs w:val="20"/>
        </w:rPr>
        <w:tab/>
      </w:r>
      <w:bookmarkStart w:id="0" w:name="_GoBack"/>
      <w:bookmarkEnd w:id="0"/>
    </w:p>
    <w:sectPr w:rsidR="004C47F7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6C" w:rsidRDefault="0030456C" w:rsidP="004C47F7">
      <w:r>
        <w:separator/>
      </w:r>
    </w:p>
  </w:endnote>
  <w:endnote w:type="continuationSeparator" w:id="0">
    <w:p w:rsidR="0030456C" w:rsidRDefault="0030456C" w:rsidP="004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6C" w:rsidRDefault="0030456C" w:rsidP="004C47F7">
      <w:r>
        <w:separator/>
      </w:r>
    </w:p>
  </w:footnote>
  <w:footnote w:type="continuationSeparator" w:id="0">
    <w:p w:rsidR="0030456C" w:rsidRDefault="0030456C" w:rsidP="004C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C"/>
    <w:rsid w:val="0030456C"/>
    <w:rsid w:val="004C47F7"/>
    <w:rsid w:val="004D07BC"/>
    <w:rsid w:val="0074523A"/>
    <w:rsid w:val="007A5771"/>
    <w:rsid w:val="008F109C"/>
    <w:rsid w:val="00A64367"/>
    <w:rsid w:val="00C00AAE"/>
    <w:rsid w:val="00D252BC"/>
    <w:rsid w:val="00E203DE"/>
    <w:rsid w:val="00F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7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C47F7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4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C4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7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C47F7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4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C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2020-04-13T16:30:00Z</dcterms:created>
  <dcterms:modified xsi:type="dcterms:W3CDTF">2020-04-13T21:34:00Z</dcterms:modified>
</cp:coreProperties>
</file>