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 xml:space="preserve">ANALÝZA ÚKOLU  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Student: </w:t>
      </w:r>
      <w:r>
        <w:rPr>
          <w:rFonts w:hint="default"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Dovednost: </w:t>
      </w:r>
      <w:r>
        <w:rPr>
          <w:rFonts w:hint="default"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Kritérium zvládnutí:_______________ Metoda: </w:t>
      </w:r>
      <w:r>
        <w:rPr>
          <w:rFonts w:ascii="Arial" w:hAnsi="Arial" w:cs="Arial"/>
          <w:sz w:val="20"/>
          <w:szCs w:val="20"/>
        </w:rPr>
        <w:t>Řetězení zezadu / řetězení zepředu / celý úkol</w:t>
      </w:r>
    </w:p>
    <w:p>
      <w:pPr>
        <w:spacing w:before="0" w:after="0"/>
      </w:pPr>
      <w:r>
        <w:rPr>
          <w:rFonts w:ascii="Arial" w:hAnsi="Arial" w:cs="Arial"/>
          <w:b/>
          <w:sz w:val="20"/>
          <w:szCs w:val="20"/>
        </w:rPr>
        <w:t>Zaznamenávejte míru pomoci:</w:t>
      </w:r>
      <w:r>
        <w:rPr>
          <w:rFonts w:ascii="Arial" w:hAnsi="Arial" w:cs="Arial"/>
          <w:sz w:val="20"/>
          <w:szCs w:val="20"/>
        </w:rPr>
        <w:t xml:space="preserve"> PFP (plný fyzický prompt), ČFP (částečný fyzický prompt), S (samostatně), BR (bez reakce), CHR (chybná reakce)</w:t>
      </w:r>
    </w:p>
    <w:p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10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646"/>
        <w:gridCol w:w="585"/>
        <w:gridCol w:w="586"/>
        <w:gridCol w:w="529"/>
        <w:gridCol w:w="2"/>
        <w:gridCol w:w="584"/>
        <w:gridCol w:w="587"/>
        <w:gridCol w:w="586"/>
        <w:gridCol w:w="588"/>
        <w:gridCol w:w="585"/>
        <w:gridCol w:w="588"/>
        <w:gridCol w:w="586"/>
        <w:gridCol w:w="587"/>
        <w:gridCol w:w="586"/>
        <w:gridCol w:w="587"/>
        <w:gridCol w:w="586"/>
        <w:gridCol w:w="587"/>
        <w:gridCol w:w="586"/>
        <w:gridCol w:w="589"/>
        <w:gridCol w:w="58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73" w:type="dxa"/>
            <w:vMerge w:val="restart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right"/>
              <w:rPr>
                <w:b/>
                <w:sz w:val="16"/>
                <w:szCs w:val="16"/>
              </w:rPr>
            </w:pPr>
          </w:p>
          <w:p>
            <w:pPr>
              <w:pStyle w:val="12"/>
              <w:spacing w:before="0" w:after="0" w:line="240" w:lineRule="auto"/>
              <w:ind w:left="0" w:firstLine="0"/>
              <w:contextualSpacing/>
              <w:jc w:val="right"/>
              <w:rPr>
                <w:b/>
                <w:sz w:val="16"/>
                <w:szCs w:val="16"/>
              </w:rPr>
            </w:pPr>
          </w:p>
          <w:p>
            <w:pPr>
              <w:pStyle w:val="12"/>
              <w:spacing w:before="0" w:after="0" w:line="240" w:lineRule="auto"/>
              <w:ind w:left="0" w:firstLine="0"/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</w:pPr>
            <w:r>
              <w:rPr>
                <w:b/>
              </w:rPr>
              <w:t>Baseline</w:t>
            </w:r>
          </w:p>
        </w:tc>
        <w:tc>
          <w:tcPr>
            <w:tcW w:w="9493" w:type="dxa"/>
            <w:gridSpan w:val="16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34" w:firstLine="0"/>
              <w:contextualSpacing/>
              <w:jc w:val="center"/>
            </w:pPr>
            <w:r>
              <w:rPr>
                <w:b/>
              </w:rPr>
              <w:t>Datum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vMerge w:val="continue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</w:pPr>
            <w:r>
              <w:rPr>
                <w:b/>
              </w:rPr>
              <w:t>Úkon/krok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  <w:rPr>
                <w:rFonts w:hint="default"/>
                <w:lang w:val="cs-CZ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3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before="0" w:after="0" w:line="240" w:lineRule="auto"/>
              <w:ind w:left="357" w:hanging="357"/>
              <w:contextualSpacing/>
              <w:jc w:val="righ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29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BR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CHR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gridSpan w:val="2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7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8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96" w:type="dxa"/>
            <w:shd w:val="clear" w:color="auto" w:fill="auto"/>
          </w:tcPr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PFP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ČFP</w:t>
            </w:r>
          </w:p>
          <w:p>
            <w:pPr>
              <w:pStyle w:val="12"/>
              <w:spacing w:before="0" w:after="0" w:line="240" w:lineRule="auto"/>
              <w:ind w:left="0" w:firstLine="0"/>
              <w:contextualSpacing/>
            </w:pPr>
            <w:r>
              <w:rPr>
                <w:sz w:val="16"/>
                <w:szCs w:val="16"/>
              </w:rPr>
              <w:t>S</w:t>
            </w:r>
          </w:p>
        </w:tc>
      </w:tr>
    </w:tbl>
    <w:p>
      <w:pPr>
        <w:spacing w:before="0" w:after="0"/>
        <w:rPr>
          <w:rFonts w:hint="default"/>
          <w:lang w:val="cs-CZ"/>
        </w:rPr>
      </w:pPr>
      <w:r>
        <w:rPr>
          <w:rFonts w:hint="default"/>
        </w:rPr>
        <w:t>©</w:t>
      </w:r>
      <w:r>
        <w:rPr>
          <w:rFonts w:hint="default"/>
          <w:lang w:val="cs-CZ"/>
        </w:rPr>
        <w:t>ABA strategie s.r.o.</w:t>
      </w:r>
      <w:bookmarkStart w:id="0" w:name="_GoBack"/>
      <w:bookmarkEnd w:id="0"/>
    </w:p>
    <w:sectPr>
      <w:footerReference r:id="rId5" w:type="default"/>
      <w:pgSz w:w="16838" w:h="11906" w:orient="landscape"/>
      <w:pgMar w:top="567" w:right="1134" w:bottom="567" w:left="1134" w:header="720" w:footer="284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50DB2"/>
    <w:rsid w:val="65C43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8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9">
    <w:name w:val="List"/>
    <w:basedOn w:val="5"/>
    <w:qFormat/>
    <w:uiPriority w:val="0"/>
    <w:rPr>
      <w:rFonts w:cs="Arial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Odstavec se seznamem Char"/>
    <w:link w:val="12"/>
    <w:qFormat/>
    <w:uiPriority w:val="34"/>
  </w:style>
  <w:style w:type="paragraph" w:styleId="12">
    <w:name w:val="List Paragraph"/>
    <w:basedOn w:val="1"/>
    <w:link w:val="11"/>
    <w:qFormat/>
    <w:uiPriority w:val="34"/>
    <w:pPr>
      <w:spacing w:before="0" w:after="200"/>
      <w:ind w:left="720" w:firstLine="0"/>
      <w:contextualSpacing/>
    </w:pPr>
  </w:style>
  <w:style w:type="character" w:customStyle="1" w:styleId="13">
    <w:name w:val="Záhlaví Char"/>
    <w:basedOn w:val="2"/>
    <w:link w:val="8"/>
    <w:qFormat/>
    <w:uiPriority w:val="99"/>
  </w:style>
  <w:style w:type="character" w:customStyle="1" w:styleId="14">
    <w:name w:val="Zápatí Char"/>
    <w:basedOn w:val="2"/>
    <w:link w:val="7"/>
    <w:qFormat/>
    <w:uiPriority w:val="99"/>
  </w:style>
  <w:style w:type="character" w:customStyle="1" w:styleId="15">
    <w:name w:val="Text bubliny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Nadpis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7">
    <w:name w:val="Rejstřík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1801</Words>
  <Characters>4429</Characters>
  <Paragraphs>1767</Paragraphs>
  <TotalTime>10</TotalTime>
  <ScaleCrop>false</ScaleCrop>
  <LinksUpToDate>false</LinksUpToDate>
  <CharactersWithSpaces>4503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2019-07-15T09:14:00Z</dcterms:created>
  <dc:creator>Kateřina Chrapková</dc:creator>
  <cp:lastModifiedBy>Lucie Vozáková</cp:lastModifiedBy>
  <cp:lastPrinted>2019-07-17T22:58:00Z</cp:lastPrinted>
  <dcterms:modified xsi:type="dcterms:W3CDTF">2023-08-20T07:19:21Z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1033-11.2.0.11537</vt:lpwstr>
  </property>
  <property fmtid="{D5CDD505-2E9C-101B-9397-08002B2CF9AE}" pid="10" name="ICV">
    <vt:lpwstr>D61FF0D4E10A455E96AD8D4CC7E75A1C</vt:lpwstr>
  </property>
</Properties>
</file>