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6A" w:rsidRPr="004F5C6A" w:rsidRDefault="004F5C6A" w:rsidP="004F5C6A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F5C6A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main"/>
      <w:bookmarkEnd w:id="0"/>
      <w:r w:rsidRPr="004F5C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Postavení SYSADOA v léčbě osteoartrózy</w:t>
      </w:r>
    </w:p>
    <w:p w:rsidR="004F5C6A" w:rsidRPr="004F5C6A" w:rsidRDefault="004F5C6A" w:rsidP="004F5C6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666666"/>
          <w:sz w:val="14"/>
          <w:szCs w:val="14"/>
          <w:lang w:eastAsia="cs-CZ"/>
        </w:rPr>
      </w:pPr>
      <w:r w:rsidRPr="004F5C6A">
        <w:rPr>
          <w:rFonts w:ascii="Times New Roman" w:eastAsia="Times New Roman" w:hAnsi="Times New Roman" w:cs="Times New Roman"/>
          <w:color w:val="666666"/>
          <w:sz w:val="14"/>
          <w:szCs w:val="14"/>
          <w:lang w:eastAsia="cs-CZ"/>
        </w:rPr>
        <w:t>Medicína po promoci 3/2016</w:t>
      </w:r>
      <w:r w:rsidRPr="004F5C6A">
        <w:rPr>
          <w:rFonts w:ascii="Times New Roman" w:eastAsia="Times New Roman" w:hAnsi="Times New Roman" w:cs="Times New Roman"/>
          <w:color w:val="666666"/>
          <w:sz w:val="14"/>
          <w:szCs w:val="14"/>
          <w:lang w:eastAsia="cs-CZ"/>
        </w:rPr>
        <w:br/>
        <w:t>06.10.2016 14:34</w:t>
      </w:r>
      <w:r w:rsidRPr="004F5C6A">
        <w:rPr>
          <w:rFonts w:ascii="Times New Roman" w:eastAsia="Times New Roman" w:hAnsi="Times New Roman" w:cs="Times New Roman"/>
          <w:color w:val="666666"/>
          <w:sz w:val="14"/>
          <w:szCs w:val="14"/>
          <w:lang w:eastAsia="cs-CZ"/>
        </w:rPr>
        <w:br/>
        <w:t>Autor: MUDr. Jiří Slíva, Ph.D.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SOUHRN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Látky řazené mezi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chondroprotektiva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přes počáteční skepsi k jejich účinku staly nedílnou součástí doporučených léčebných postupů pro osteoartrózu. Jejich účinek spočívá jednak v ovlivnění struktury chrupavky, jednak v ovlivnění vlastních patofyziologických pochodů. V článku jsou ve zkratce popsány nejvýznamnější mechanismy účinku jednotlivých zástupců. Ty jsou aktuálně v ČR k dispozici nejenom ve formě léčivých přípravků, ale též doplňků stravy, což může být spojeno s rizikem kvantitativní diskrepance mezi deklarovaným a skutečným množstvím účinné látky.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Klíčová slova: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SYSADOA,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chondroprotektiva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osteoartróza, chrupavka, chondroitin sulfát, kyselina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hyaluronová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glukosamin,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ASU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SUMMARY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Despite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scepticism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substances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belonging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chondroprotectives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indivisible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component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therapeutic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guidelines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structure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modification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and/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modulation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pathophysiological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processes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article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briefly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deals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relevant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respective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representative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molecules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Currently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these are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available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both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registered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drugs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food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as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availability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food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may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quantitative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discrepancy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declared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active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ingredient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should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cautiously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Keywords</w:t>
      </w:r>
      <w:proofErr w:type="spellEnd"/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SYSADOA,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chondroprotectives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sulfate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acid,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glucosamine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ASU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Osteoartróza představuje chronické onemocnění kloubů postihující chrupavku,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subchondrální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kost, menisky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periartikulární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měkkou tkáň. Vzhledem k demografickému stárnutí populace postihuje stále větší počet osob. Možností, jak vylepšit stavbu, a tedy i funkčnost chrupavčité tkáně, přitom rozhodně není mnoho. Z preventivních opatření lze hovořit jednak o uvážlivém zatěžování kloubního systému, jednak 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suplementaci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chondroprotektivy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je rovněž součástí platných terapeutických doporučení.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Terapeutické možnosti zahrnují především analgetika (zejména paracetamol) a nesteroidní antiflogistika, velký rozmach v posledních letech nicméně zažívají látky řazené mezi symptomatické pomalu působící léčiva u osteoartrózy neboli SYSADOA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symptomatic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slow-acting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drugs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jež zahrnují jak prekursory komponent mezibuněčné hmoty chrupavky (chondroitin sulfát, glukosamin, kyselinu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hyaluronovou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), tak cytokinové modulátory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výtažek z avokáda a sójových bobů [ASU]). Vzhledem k poměrně stále čerstvým zjištěním, že látky z první uvedené podskupiny disponují celou řadou dalších účinků (ovlivnění aktivity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metaloproteináz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modulace zánětu, antioxidační vlastnosti aj.),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toto dělení dnes spíše orientační a pozbývá na významu.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odkazem na výsledky studií publikovaných v poslední době začaly být ke skupině SYSADOA přiřazovány 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bisfosfonáty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nehydrolyzovatelná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analoga anorganického pyrofosfátu, jež zaujímají pevné místo primárně v léčbě osteoporózy.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Ukázalo se, že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bisfosfonáty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schopny inhibovat aktivitu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metaloproteináz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(zabraňují tedy degradaci kolagenu) a současně mohou mít i mírné analgetické účinky, třebaže přesná podstata těchto vlastností zůstává ne zcela objasněna.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Terapeutické využití látek ze skupiny SYSADOA se dnes již opírá o výsledky řady klinických studií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metaanalýz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byly podkladem pro aktuálně platná terapeutická doporučení společnosti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League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Against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Rheumatism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(EULAR)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5,6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národních odborných společností. Vzhledem k době prezentace těchto doporučení logicky nemohla být reflektována uvedená doporučení ohledně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stejně tak ani některá novější klinická data.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Samotné poškození chrupavky a zánět synovie při osteoartróze jsou důsledkem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prozánětlivě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působících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cytokinů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interleukinů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1β [IL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1β] či tumor nekrotizujícího faktoru alfa [TNFα]), enzymů s proteolytickou aktivitou (matrixových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metaloproteináz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 a enzymů se zánětlivou aktivitou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cyklooxygenázy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[COX] či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syntázy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oxidu dusnatého [NO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syntáza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]), které v konečném důsledku vedou k aktivaci a k translokaci nukleárního faktoru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κB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(NF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κ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)do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oblasti příslušných promotorů. Ukázalo se, že chondroitin sulfát, tedy zástupce první uváděné podskupiny SYSADOA, je schopen zabránit postupnému zúžení kloubní štěrbiny společně s omezením otoku kloubu a tvorby výpotku. Tento účinek se vysvětluje jeho inhibičním působením na translokaci NF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κB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přičemž současně je poukazováno i na ovlivnění kinázových cest, včetně mitogenem aktivované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proteinkinázy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(mitogen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activated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kinase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MAPK) či proteinu c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Jun. Pouze připomeňme, že chondroitin sulfát je fyziologickou součástí proteoglykanů obsažených v mezibuněčné hmotě chrupavky (v tzv.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agrekanu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). Po perorálním podání se štěpí na fragmenty o různé molekulové hmotnosti, které se po vstřebání akumulují v kloubní chrupavce.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příznivém, protizánětlivém působení </w:t>
      </w:r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chondroitin sulfátu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svědčí i prokázaný pokles tvorby prostaglandinu PGE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nemocných s revmatoidní artritidou.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7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Obdobných studií lze v dosud publikované literatuře nalézt jistě více. Lze však uzavřít, že i navzdory dosud popsaným mechanismům účinku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chondroprotektiv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jmenovitě chondroitin sulfátu, není ještě vše zcela objasněno. I přesto však víme, že např. výše zmíněná translokace nukleárního faktoru na úrovni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synoviocytů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 být inhibována i v případě jeho indukce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interleukinem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1β až o 67 % v přítomnosti chondroitin sulfátu; obdobný účinek se týká i makrofágů.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8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Ve skupině výhradních cytokinových modulátorů vzbudilo v předloňském roce menší rozruch doporučení Evropské lékové agentury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European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Medicines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Agency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EMA) ohledně </w:t>
      </w:r>
      <w:proofErr w:type="spellStart"/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diacereinu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Jeho aktivní metabolit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rhein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tlumí tvorbu a aktivitu prozánětlivých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interleukinů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1β indukující NF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κB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které hrají významnou roli při vzniku zánětu a rozpadu kloubní chrupavky; současně zvyšuje produkci transformujícího růstového faktoru –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TGF. Stimuluje syntézu komponent matrix chrupavky (proteoglykanů,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glykosaminoglykanů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kyseliny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hyaluronové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přehodnocován z pohledu objektivního průkazu jeho terapeutické účinnosti ve vztahu k možným rizikům. Evropská léková agentura (EMA/544268/2014) konstatuje, že přínosy z jeho užívání sice převažují nad možnými riziky, nicméně současně upravuje doporučení týkající se jeho podávání. Z důvodu rizika vzniku průjmu by jím neměly být léčeny osoby starší 65 let (což představuje vzhledem k prevalenci onemocnění u starších osob poměrně výrazně limitující skutečnost). Počáteční dávka by měla být právě z důvodu průjmu poloviční oproti dávce běžné (tj. 50 mg denně namísto 100 mg denně) a v případě průjmu by měl být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zcela vysazen. Současně EMA zakazuje užívání přípravků s obsahem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osob s probíhajícím onemocněním jater nebo s 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takovým onemocněním v osobní anamnéze. Sledování hodnot jaterních testů je doporučováno i během léčby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diacereinem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Glukosamin sulfát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základem pro syntézu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glykosaminoglykanů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kyseliny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hyaluronové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Inhibuje enzymy klíčové pro destrukci artrotické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chrupavky −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kolagenázy</w:t>
      </w:r>
      <w:proofErr w:type="spellEnd"/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fosfolipázy A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Chrání chondrocyty před škodlivými vlivy terapie nesteroidními antiflogistiky nebo před působením některých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cytokinů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1, TNF). Zvyšuje stupeň sulfatace chrupavky, což má význam pro udržení jejích fyziologických vlastností. Podporuje ukládání kalcia do kosti. Prostřednictvím inhibice tvorby volných radikálů účinkuje i protizánětlivě.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Kyselina </w:t>
      </w:r>
      <w:proofErr w:type="spellStart"/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hyaluronová</w:t>
      </w:r>
      <w:proofErr w:type="spellEnd"/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(HA)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fyziologicky tvořena řadou buněk, přičemž nejvýznamněji se na její syntéze podílejí fibroblasty,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keratinocyty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chondrocyty. Zvýšená tvorba je ovlivněna celou řadou faktorů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působků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mezi jinými např. i transformujícím růstovým faktorem β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(TGFβ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který podporuje expresi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mRNA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syntázu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kyseliny hyaluronové.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9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Ještě výraznější účinek je možné pozorovat při podání destičkového růstového faktoru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platelet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derived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PDGF) a v menší míře i endotelového růstového faktoru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endothelial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EGF).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10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molekulu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hyaluronátu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na povrchu různých typů buněk identifikováno šest specifických struktur, přičemž mezi nejlépe popsané a nejlépe charakterizované dnes patří CD44 a RHAMM (CD168). Předpokládá se, že oba tyto receptory zasahují do procesu migrace nádorových buněk, ovlivňují jejich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invazivitu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adhezivitu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proliferaci; RHAMM není na rozdíl od CD44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transmembránovým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proteinem, na buněčnou membránu je napojen zvenčí a může tak snadno interagovat s přítomnými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glykosaminoglykany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Vedle buněčné migrace urychluje G2 fázi a M fázi buněčného cyklu a podporuje novotvorbu cév. Zatímco nízkomolekulární kyselina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hyaluronová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 podporuje, vysokomolekulární kyselina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hyaluronová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 naopak inhibuje, a to jak na úrovni ovlivnění migrace, tak i ovlivněním proliferace samotných endoteliálních buněk.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11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onemocnění s převažující složkou zánětu je možné pozorovat zvýšenou vaznost monocytů periferní krve k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hyaluronátu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Ukázalo se, že aktivita těchto buněk přímo koreluje s aktivací receptorů pro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hyaluronát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jejich povrchu, a sice s receptory CD44 a TLR4. Navíc zatímco nízké frakce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hyaluronátu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vedly ke zvýšené tvorbě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prozánětlivě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působícího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interleukinu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6 a monocyty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chemoatrahujícího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proteinu MCP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1, v případě vysokomolekulárního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hyaluronátu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 analogický výsledek pozorován.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12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Právě výše popsaná interakce s receptory CD44 vede k aktivaci leukocytů, zejména pak k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chemoatrakci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makrofágů.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13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studii </w:t>
      </w:r>
      <w:r w:rsidRPr="004F5C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 vitro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prokázán příznivý vliv nízkomolekulárního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hyaluronátu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aktivaci a maturaci dendritických buněk za přítomnosti zánětu.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14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hlediska osteoartrózy je přirozeně klíčový příznivý vliv na chrupavku, a to jak ve smyslu zachování jejího objemu, tak i ve smyslu zamezení vzniku jejích defektů.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15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Látkou, která do běžné klinické praxe pronikla teprve nedávno, je </w:t>
      </w:r>
      <w:r w:rsidRPr="004F5C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ASU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je označení pro nezmýdelnitelný podíl avokádového a sójového oleje, jemuž je přisuzován inhibiční vliv na působení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interleukinu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1, stimulační působení na tvorbu kolagenních vláken chondrocyty a stimulace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subchondrálních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osteoblastů.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16,17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toho však zeslabuje i účinky TNFα a expresi cyklooxygenázy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2 (COX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2)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inducibilní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syntázy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oxidu dusnatého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iNOS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18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Vedle těchto účinků byla zaznamenána snížená tvorba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interleukinu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1 v chondrocytech, zvýšená exprese PAI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1 (frakce inhibující aktivátor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plasminu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vztahem k lézím chrupavky u osteoartrózy) nebo zvýšená exprese TGFβ u bovinních chondrocytů, jemuž jsou připisovány anabolické účinky na chrupavku.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19,20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Nejnověji je v souvislosti s užíváním ASU z hlediska potlačení zánětlivé reakce akcentován inhibiční vliv na expresi genů pro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1β, TNFα,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6, COX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2 a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8 prostřednictvím modulace nukleárního faktoru NF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κB.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21</w:t>
      </w:r>
    </w:p>
    <w:p w:rsid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ZÁVĚR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Obecně platí, že léčba osteoartrózy musí být komplexní, tj. zahrnující jak přístupy nefarmakologické, tak i farmakoterapii, a to s vědomím, že bohužel nejsme schopni nemocným nabídnout vyléčení </w:t>
      </w:r>
      <w:r w:rsidRPr="004F5C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ad </w:t>
      </w:r>
      <w:proofErr w:type="spellStart"/>
      <w:r w:rsidRPr="004F5C6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integrum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 Léčivé látky ze skupiny SYSADOA nicméně svým mechanismem účinku, který teprve v posledních letech začínáme poznávat a chápat, představují zajímavou terapeutickou modalitu. Jejich zřejmou nevýhodou je však pomalý nástup účinku (ve srovnání s analgetiky), tato nevýhoda je však alespoň částečně kompenzována přímým ovlivněním vlastního patologického procesu. Podmínkou je zde i vysoká adherence k léčbě, což právě v léčbě osteoartrózy může být limitujícím faktorem.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trhu jsou aktuálně dostupné i mnohé přípravky deklarující příznivý účinek na kloubní chrupavku, třebaže průkaz jejich účinku na klinické úrovni není příliš přesvědčivý. Situaci komplikuje i nabídka řady doplňků stravy, které sice obsahují některé z výše uvedených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chondroprotektiv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ovšem ne vždy deklarované množství účinné látky uvedené na jejich obalu odpovídá skutečnosti, což potvrzuje mj. např. srovnávací analýza doplňků stravy s obsahem chondroitin sulfátu na americkém trhu (</w:t>
      </w: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obr. 1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143500" cy="3505200"/>
            <wp:effectExtent l="0" t="0" r="0" b="0"/>
            <wp:docPr id="5" name="Obrázek 5" descr="https://www.tribune.cz/dta/a/o/01/16/73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ibune.cz/dta/a/o/01/16/73/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Napříč přípravky byl pozorován výrazný rozptyl zjištěného množství oproti deklarovanému množství na obalu, přičemž analogická situace se týkala i přípravků s obsahem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glucosamin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hydrochloridu.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22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Bohužel obdobné negativní zkušenosti s doplňky s obsahem chondroitin sulfátu pocházejí i z České republiky, kdy množství účinné látky v jednotlivých přípravcích oproti deklarovanému množství dosahovalo následujících hodnot: 0,4 %, 5,3 %, 140 %, 7,3 %, 44,4 %, 31,7 %, 95,9 %, 94,8 %, 87,5 % a 13,3 %.</w:t>
      </w:r>
      <w:r w:rsidRPr="004F5C6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23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Souich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Garcia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Verges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Montell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Immunomodulatory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anti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inflammatory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sulphate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 Cell Mol Med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2009;13:1451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–1463.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2.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Souich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Absorption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distribution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SYSADOAS.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Pharmacol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2014;142:362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–374.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Permuy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Guede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Lopez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Pena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Comparison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various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SYSADOA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experimental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rabbits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BMC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Musculoskelet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2015;16:120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Fujita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Ohue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Fujii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Analgesic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chondroprotective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risedronate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assessed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electroalgometry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measurement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collagen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type II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fragments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urine. J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Res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2008;36:932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–941.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Zhang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Doherty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Leeb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BF, et al. EULAR evidence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recommendations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report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Task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Force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EULAR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Standing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Committee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Studies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Therapeutics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(ESCISIT). Ann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Rheum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Dis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2007;66:377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–388.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Merashly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Uthman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 Management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knee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evidence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options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 Med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Liban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2012;60:237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–242.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Iovu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Dumais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Souich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Anti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inflammatory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sulfate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2008;16(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):S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14–S18.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Uebelhart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sulfate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2008;16(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):S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19–S21.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Tanimoto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Suzuki A,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Ohno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TGF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beta on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anabolism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fibroblasts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derived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synovial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membrane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rabbit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temporomandibular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joint. J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2004;83:40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–44.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Campo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GM,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Avenoso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Campo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Differential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synthase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fibroblasts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exposed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oxidative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stress.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Biochemistry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Mosc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.) 2007;72:974–982, 4.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Rooney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Kumar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Ponting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Wang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tumour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neovascularization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Cancer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1995;60:632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–636.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Yamawaki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Hirohata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Miyoshi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receptors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involved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cytokine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induction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monocytes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Glycobiology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2009;19:83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–92.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Taylor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Gallo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Glycosaminoglycans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proteoglycans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: host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molecular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patterns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initiation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modulation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inflammation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FASEB J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2006;20:9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–22.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Termeer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CC,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Hennies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Voith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Oligosaccharides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hyaluronan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potent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activators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dendritic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cells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Immunol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2000;165:1863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–1870.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Wang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Y,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Hall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Hanna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Hylan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F 20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preservation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detected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magnetic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resonance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imaging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knee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year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single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blind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trial. BMC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Musculoskelet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2011;12:195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16.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Ernst E.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Avocado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soybean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unsaponifiables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(ASU)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systematic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review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Clin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Rheumatol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2003;22:285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–288.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Cake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Read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Guillou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Ghosh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Modification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articular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subchondral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bone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pathology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ovine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meniscectomy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avocado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soya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unsaponifiables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(ASU).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2000;8:404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–411.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 RY, Al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Talib TK, Au AY,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Avocado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soybean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unsaponifiables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(ASU)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suppress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TNF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alpha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, IL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1beta, COX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2,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iNOS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gene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prostaglandin E2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nitric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oxide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articular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chondrocytes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monocyte/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macrophages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Osteoarthritis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Cartilage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2007;15:1249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–1255.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Boumediene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Felisaz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Bogdanowicz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Avocado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soya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unsaponifiables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enhance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transforming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beta1 and beta2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articular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chondrocytes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Arthritis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Rheum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1999;42:148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–156.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Lippiello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L, Nardo JV,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Harlan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Chiou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Metabolic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avocado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soya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unsaponifiables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articular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chondrocytes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Evid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Complement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Alternat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2008;5:191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–197.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21.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Ownby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SL, Fortuno LV, Au AY, et al.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Expression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inflammatory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mediators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inhibited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avocado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soybean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unsaponifiables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epigallocatechin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gallate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combination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Inflamm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Lond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2014;11:8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5C6A" w:rsidRPr="004F5C6A" w:rsidRDefault="004F5C6A" w:rsidP="004F5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Adebowale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AO,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Cox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DS,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Liang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Eddington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ND.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glucosamine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sulfate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content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marketed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products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Caco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2 permeability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sulfate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raw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materials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Am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Nutr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Assoc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2000;3:37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–44.</w:t>
      </w:r>
    </w:p>
    <w:p w:rsidR="00201D50" w:rsidRDefault="004F5C6A" w:rsidP="0043130C">
      <w:pPr>
        <w:spacing w:before="100" w:beforeAutospacing="1" w:after="100" w:afterAutospacing="1" w:line="240" w:lineRule="auto"/>
        <w:jc w:val="both"/>
      </w:pPr>
      <w:r w:rsidRPr="004F5C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</w:t>
      </w:r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Volpi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N,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Maccari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F. Hodnocení chondroitin sulfátu v potravinových doplňcích v České republice (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chondroitin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sulfate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Czech Republic food </w:t>
      </w:r>
      <w:proofErr w:type="spell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supplements</w:t>
      </w:r>
      <w:proofErr w:type="spell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Farmakoterapie </w:t>
      </w:r>
      <w:proofErr w:type="gramStart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2008;4:418</w:t>
      </w:r>
      <w:proofErr w:type="gramEnd"/>
      <w:r w:rsidRPr="004F5C6A">
        <w:rPr>
          <w:rFonts w:ascii="Times New Roman" w:eastAsia="Times New Roman" w:hAnsi="Times New Roman" w:cs="Times New Roman"/>
          <w:sz w:val="24"/>
          <w:szCs w:val="24"/>
          <w:lang w:eastAsia="cs-CZ"/>
        </w:rPr>
        <w:t>–421.</w:t>
      </w:r>
      <w:bookmarkStart w:id="1" w:name="_GoBack"/>
      <w:bookmarkEnd w:id="1"/>
    </w:p>
    <w:sectPr w:rsidR="0020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F2F7F"/>
    <w:multiLevelType w:val="multilevel"/>
    <w:tmpl w:val="C8DA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6A"/>
    <w:rsid w:val="00201D50"/>
    <w:rsid w:val="0043130C"/>
    <w:rsid w:val="004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32E84-9DFB-44FE-A569-FA40866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F5C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F5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5C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F5C6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F5C6A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F5C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F5C6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F5C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F5C6A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5C6A"/>
    <w:rPr>
      <w:b/>
      <w:bCs/>
    </w:rPr>
  </w:style>
  <w:style w:type="character" w:styleId="Zdraznn">
    <w:name w:val="Emphasis"/>
    <w:basedOn w:val="Standardnpsmoodstavce"/>
    <w:uiPriority w:val="20"/>
    <w:qFormat/>
    <w:rsid w:val="004F5C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1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85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3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1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118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48826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694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3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806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936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4647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72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2425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2019-03-31T08:23:00Z</dcterms:created>
  <dcterms:modified xsi:type="dcterms:W3CDTF">2019-04-12T06:15:00Z</dcterms:modified>
</cp:coreProperties>
</file>