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25" w:rsidRDefault="00F3179F" w:rsidP="00F3179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3179F">
        <w:rPr>
          <w:rFonts w:ascii="Bookman Old Style" w:hAnsi="Bookman Old Style"/>
          <w:b/>
          <w:u w:val="single"/>
        </w:rPr>
        <w:t>Prototypy</w:t>
      </w:r>
      <w:r>
        <w:rPr>
          <w:rFonts w:ascii="Bookman Old Style" w:hAnsi="Bookman Old Style"/>
          <w:b/>
          <w:u w:val="single"/>
        </w:rPr>
        <w:t xml:space="preserve"> – Původy emblémů</w:t>
      </w:r>
    </w:p>
    <w:p w:rsidR="00F3179F" w:rsidRDefault="00F3179F" w:rsidP="00F3179F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3179F" w:rsidRDefault="00F3179F" w:rsidP="00F3179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Pojem pochází ze středověké emblematicky 12. století, charakteristický je rovněž pro 16. a 17. století. Na rozdíl od pozdního středověku se vyskytuje v nových významech. V baroku jsou nové výklady jednotlivých pojmů – především u </w:t>
      </w:r>
      <w:proofErr w:type="spellStart"/>
      <w:r>
        <w:rPr>
          <w:rFonts w:ascii="Bookman Old Style" w:hAnsi="Bookman Old Style"/>
        </w:rPr>
        <w:t>Alciatiho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Horapolla</w:t>
      </w:r>
      <w:proofErr w:type="spellEnd"/>
      <w:r>
        <w:rPr>
          <w:rFonts w:ascii="Bookman Old Style" w:hAnsi="Bookman Old Style"/>
        </w:rPr>
        <w:t xml:space="preserve"> a Valeriána, jimiž byly šířeny (</w:t>
      </w:r>
      <w:proofErr w:type="spellStart"/>
      <w:r>
        <w:rPr>
          <w:rFonts w:ascii="Bookman Old Style" w:hAnsi="Bookman Old Style"/>
        </w:rPr>
        <w:t>srv</w:t>
      </w:r>
      <w:proofErr w:type="spellEnd"/>
      <w:r>
        <w:rPr>
          <w:rFonts w:ascii="Bookman Old Style" w:hAnsi="Bookman Old Style"/>
        </w:rPr>
        <w:t xml:space="preserve">. výklady </w:t>
      </w:r>
      <w:proofErr w:type="spellStart"/>
      <w:r>
        <w:rPr>
          <w:rFonts w:ascii="Bookman Old Style" w:hAnsi="Bookman Old Style"/>
        </w:rPr>
        <w:t>Josepha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Lange</w:t>
      </w:r>
      <w:proofErr w:type="spellEnd"/>
      <w:r>
        <w:rPr>
          <w:rFonts w:ascii="Bookman Old Style" w:hAnsi="Bookman Old Style"/>
        </w:rPr>
        <w:t xml:space="preserve"> knihy, jež byla poprvé vydána v roce 1503 „</w:t>
      </w:r>
      <w:proofErr w:type="spellStart"/>
      <w:r>
        <w:rPr>
          <w:rFonts w:ascii="Bookman Old Style" w:hAnsi="Bookman Old Style"/>
        </w:rPr>
        <w:t>Florilegii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magni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Polyanthae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libri</w:t>
      </w:r>
      <w:proofErr w:type="spellEnd"/>
      <w:r>
        <w:rPr>
          <w:rFonts w:ascii="Bookman Old Style" w:hAnsi="Bookman Old Style"/>
        </w:rPr>
        <w:t xml:space="preserve"> XX.“ od </w:t>
      </w:r>
      <w:proofErr w:type="spellStart"/>
      <w:r>
        <w:rPr>
          <w:rFonts w:ascii="Bookman Old Style" w:hAnsi="Bookman Old Style"/>
        </w:rPr>
        <w:t>Domenica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Mirabellia</w:t>
      </w:r>
      <w:proofErr w:type="spellEnd"/>
      <w:r>
        <w:rPr>
          <w:rFonts w:ascii="Bookman Old Style" w:hAnsi="Bookman Old Style"/>
        </w:rPr>
        <w:t>, Lyon 1648).</w:t>
      </w:r>
    </w:p>
    <w:p w:rsidR="00F3179F" w:rsidRDefault="00F3179F" w:rsidP="00F3179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Od pozdního středověku se vyskytují další oblasti alegorie, kde slovo nejen popisuje a vysvětluje obrázkový obsah, nýbrž je součástí a slovo </w:t>
      </w:r>
      <w:r w:rsidR="002F4EE9">
        <w:rPr>
          <w:rFonts w:ascii="Bookman Old Style" w:hAnsi="Bookman Old Style"/>
        </w:rPr>
        <w:t xml:space="preserve">a obraz mají na sebe vzájemný vztah. </w:t>
      </w:r>
      <w:r w:rsidR="000962DB">
        <w:rPr>
          <w:rFonts w:ascii="Bookman Old Style" w:hAnsi="Bookman Old Style"/>
        </w:rPr>
        <w:t xml:space="preserve">Tyto jednotlivé části byly rozšiřovány již v průběhu 15. století především v Itálii a ve Francii jako výtvarně-literární umělecké formy. </w:t>
      </w:r>
      <w:r w:rsidR="00B56761">
        <w:rPr>
          <w:rFonts w:ascii="Bookman Old Style" w:hAnsi="Bookman Old Style"/>
        </w:rPr>
        <w:t xml:space="preserve">V těchto dvou zemích se pak vyvíjely již samostatně. V Burgundsku a Francii se </w:t>
      </w:r>
      <w:proofErr w:type="spellStart"/>
      <w:r w:rsidR="00B56761">
        <w:rPr>
          <w:rFonts w:ascii="Bookman Old Style" w:hAnsi="Bookman Old Style"/>
        </w:rPr>
        <w:t>obrazovo</w:t>
      </w:r>
      <w:proofErr w:type="spellEnd"/>
      <w:r w:rsidR="00B56761">
        <w:rPr>
          <w:rFonts w:ascii="Bookman Old Style" w:hAnsi="Bookman Old Style"/>
        </w:rPr>
        <w:t>-literární forma uplatnila v heraldice, v Itálii je spojena s činností humanistů a jejich „</w:t>
      </w:r>
      <w:proofErr w:type="spellStart"/>
      <w:r w:rsidR="00B56761">
        <w:rPr>
          <w:rFonts w:ascii="Bookman Old Style" w:hAnsi="Bookman Old Style"/>
        </w:rPr>
        <w:t>Ars</w:t>
      </w:r>
      <w:proofErr w:type="spellEnd"/>
      <w:r w:rsidR="00B56761">
        <w:rPr>
          <w:rFonts w:ascii="Bookman Old Style" w:hAnsi="Bookman Old Style"/>
        </w:rPr>
        <w:t xml:space="preserve"> </w:t>
      </w:r>
      <w:proofErr w:type="spellStart"/>
      <w:r w:rsidR="00B56761">
        <w:rPr>
          <w:rFonts w:ascii="Bookman Old Style" w:hAnsi="Bookman Old Style"/>
        </w:rPr>
        <w:t>hieroglyphica</w:t>
      </w:r>
      <w:proofErr w:type="spellEnd"/>
      <w:r w:rsidR="00B56761">
        <w:rPr>
          <w:rFonts w:ascii="Bookman Old Style" w:hAnsi="Bookman Old Style"/>
        </w:rPr>
        <w:t xml:space="preserve">“. </w:t>
      </w:r>
    </w:p>
    <w:p w:rsidR="00B56761" w:rsidRDefault="00B56761" w:rsidP="00B5676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– Devízy</w:t>
      </w:r>
    </w:p>
    <w:p w:rsidR="00B56761" w:rsidRDefault="00B56761" w:rsidP="00B5676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 – Hieroglyfy</w:t>
      </w:r>
    </w:p>
    <w:p w:rsidR="00B56761" w:rsidRDefault="00B56761" w:rsidP="00B56761">
      <w:pPr>
        <w:pStyle w:val="Odstavecseseznamem"/>
        <w:numPr>
          <w:ilvl w:val="0"/>
          <w:numId w:val="2"/>
        </w:numPr>
        <w:spacing w:line="360" w:lineRule="auto"/>
        <w:ind w:left="851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proofErr w:type="spellStart"/>
      <w:r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B jsou nejdůležitější předpoklady pro </w:t>
      </w:r>
      <w:proofErr w:type="spellStart"/>
      <w:r>
        <w:rPr>
          <w:rFonts w:ascii="Bookman Old Style" w:hAnsi="Bookman Old Style"/>
        </w:rPr>
        <w:t>emblematiku</w:t>
      </w:r>
      <w:proofErr w:type="spellEnd"/>
      <w:r>
        <w:rPr>
          <w:rFonts w:ascii="Bookman Old Style" w:hAnsi="Bookman Old Style"/>
        </w:rPr>
        <w:t>, šířily se díky dvorským ceremoniím, které neznaly hranice a tak docházelo k vzájemným výměnám mezi těmito dvěma skupinami</w:t>
      </w:r>
    </w:p>
    <w:p w:rsidR="00B56761" w:rsidRDefault="00B56761" w:rsidP="00B56761">
      <w:pPr>
        <w:pStyle w:val="Odstavecseseznamem"/>
        <w:spacing w:line="360" w:lineRule="auto"/>
        <w:ind w:left="851"/>
        <w:jc w:val="both"/>
        <w:rPr>
          <w:rFonts w:ascii="Bookman Old Style" w:hAnsi="Bookman Old Style"/>
        </w:rPr>
      </w:pPr>
    </w:p>
    <w:p w:rsidR="00B56761" w:rsidRDefault="00B56761" w:rsidP="00B56761">
      <w:pPr>
        <w:pStyle w:val="Odstavecseseznamem"/>
        <w:numPr>
          <w:ilvl w:val="0"/>
          <w:numId w:val="3"/>
        </w:numPr>
        <w:spacing w:line="360" w:lineRule="auto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 </w:t>
      </w:r>
      <w:r w:rsidR="00523840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523840">
        <w:rPr>
          <w:rFonts w:ascii="Bookman Old Style" w:hAnsi="Bookman Old Style"/>
        </w:rPr>
        <w:t>Slavnosti</w:t>
      </w:r>
    </w:p>
    <w:p w:rsidR="00523840" w:rsidRDefault="00523840" w:rsidP="00B56761">
      <w:pPr>
        <w:pStyle w:val="Odstavecseseznamem"/>
        <w:numPr>
          <w:ilvl w:val="0"/>
          <w:numId w:val="3"/>
        </w:numPr>
        <w:spacing w:line="360" w:lineRule="auto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 – Rébusy – jako předstupeň</w:t>
      </w:r>
      <w:r w:rsidR="00C14467">
        <w:rPr>
          <w:rFonts w:ascii="Bookman Old Style" w:hAnsi="Bookman Old Style"/>
        </w:rPr>
        <w:t xml:space="preserve"> emblematických prototypů se rovněž vyskytují v Německu v 15. století, obdobně jako </w:t>
      </w:r>
      <w:proofErr w:type="spellStart"/>
      <w:r w:rsidR="00C14467">
        <w:rPr>
          <w:rFonts w:ascii="Bookman Old Style" w:hAnsi="Bookman Old Style"/>
        </w:rPr>
        <w:t>Ars</w:t>
      </w:r>
      <w:proofErr w:type="spellEnd"/>
      <w:r w:rsidR="00C14467">
        <w:rPr>
          <w:rFonts w:ascii="Bookman Old Style" w:hAnsi="Bookman Old Style"/>
        </w:rPr>
        <w:t xml:space="preserve"> </w:t>
      </w:r>
      <w:proofErr w:type="spellStart"/>
      <w:r w:rsidR="00C14467">
        <w:rPr>
          <w:rFonts w:ascii="Bookman Old Style" w:hAnsi="Bookman Old Style"/>
        </w:rPr>
        <w:t>hieroglyphica</w:t>
      </w:r>
      <w:proofErr w:type="spellEnd"/>
      <w:r w:rsidR="00C14467">
        <w:rPr>
          <w:rFonts w:ascii="Bookman Old Style" w:hAnsi="Bookman Old Style"/>
        </w:rPr>
        <w:t>.</w:t>
      </w:r>
    </w:p>
    <w:p w:rsidR="00C14467" w:rsidRDefault="00C14467" w:rsidP="00C14467">
      <w:pPr>
        <w:spacing w:line="360" w:lineRule="auto"/>
        <w:jc w:val="both"/>
        <w:rPr>
          <w:rFonts w:ascii="Bookman Old Style" w:hAnsi="Bookman Old Style"/>
        </w:rPr>
      </w:pPr>
    </w:p>
    <w:p w:rsidR="00C14467" w:rsidRDefault="00C14467" w:rsidP="00C1446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Od 14. století až po r. 1400 se vyskytují devízy a heraldika již jako slovo a obraz dohromady, což se šíří hlavně po Burgundsku a ve Francii, především v souvislosti s rytířskou kulturou. </w:t>
      </w:r>
    </w:p>
    <w:p w:rsidR="00C14467" w:rsidRDefault="00C14467" w:rsidP="00C14467">
      <w:pPr>
        <w:spacing w:line="360" w:lineRule="auto"/>
        <w:jc w:val="both"/>
        <w:rPr>
          <w:rFonts w:ascii="Bookman Old Style" w:hAnsi="Bookman Old Style"/>
        </w:rPr>
      </w:pPr>
    </w:p>
    <w:p w:rsidR="00C14467" w:rsidRDefault="00C14467" w:rsidP="00C1446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Části heraldiky: Francie</w:t>
      </w:r>
    </w:p>
    <w:p w:rsidR="00C14467" w:rsidRDefault="00C14467" w:rsidP="00C1446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pole s nápisem</w:t>
      </w:r>
    </w:p>
    <w:p w:rsidR="00C14467" w:rsidRDefault="00C14467" w:rsidP="00C1446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motto</w:t>
      </w:r>
    </w:p>
    <w:p w:rsidR="00C14467" w:rsidRDefault="00C14467" w:rsidP="00C1446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znak-obraz</w:t>
      </w:r>
    </w:p>
    <w:p w:rsidR="00C14467" w:rsidRDefault="00C14467" w:rsidP="00C1446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Části devíz:</w:t>
      </w:r>
    </w:p>
    <w:p w:rsidR="00C14467" w:rsidRDefault="00C14467" w:rsidP="00C1446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slovo/monogram nebo motto</w:t>
      </w:r>
    </w:p>
    <w:p w:rsidR="00C14467" w:rsidRPr="00C14467" w:rsidRDefault="00C14467" w:rsidP="00C1446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obraz</w:t>
      </w:r>
    </w:p>
    <w:p w:rsidR="00C14467" w:rsidRDefault="00C14467" w:rsidP="00C1446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 rozšíření dochází ve 3. třetině 14. století především v Burgundsku, náměty a různé formy devíz známe z keramiky – např. </w:t>
      </w:r>
      <w:proofErr w:type="spellStart"/>
      <w:r>
        <w:rPr>
          <w:rFonts w:ascii="Bookman Old Style" w:hAnsi="Bookman Old Style"/>
        </w:rPr>
        <w:t>Luca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della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Robbia</w:t>
      </w:r>
      <w:proofErr w:type="spellEnd"/>
      <w:r>
        <w:rPr>
          <w:rFonts w:ascii="Bookman Old Style" w:hAnsi="Bookman Old Style"/>
        </w:rPr>
        <w:t xml:space="preserve"> Tondo – talířek se šálkem – náměty s erotickými devízami, 1460-70.</w:t>
      </w:r>
    </w:p>
    <w:p w:rsidR="00231E57" w:rsidRDefault="00231E57" w:rsidP="00231E57">
      <w:pPr>
        <w:pStyle w:val="Odstavecseseznamem"/>
        <w:spacing w:line="360" w:lineRule="auto"/>
        <w:jc w:val="both"/>
        <w:rPr>
          <w:rFonts w:ascii="Bookman Old Style" w:hAnsi="Bookman Old Style"/>
        </w:rPr>
      </w:pPr>
    </w:p>
    <w:p w:rsidR="00C14467" w:rsidRDefault="00231E57" w:rsidP="00231E57">
      <w:p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Ars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hieroglyphica</w:t>
      </w:r>
      <w:proofErr w:type="spellEnd"/>
      <w:r>
        <w:rPr>
          <w:rFonts w:ascii="Bookman Old Style" w:hAnsi="Bookman Old Style"/>
        </w:rPr>
        <w:t>:</w:t>
      </w:r>
    </w:p>
    <w:p w:rsidR="00231E57" w:rsidRDefault="00231E57" w:rsidP="00231E5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především italští humanisté a archeologičtí umělci quattrocenta (</w:t>
      </w:r>
      <w:proofErr w:type="spellStart"/>
      <w:r>
        <w:rPr>
          <w:rFonts w:ascii="Bookman Old Style" w:hAnsi="Bookman Old Style"/>
        </w:rPr>
        <w:t>Horapoll</w:t>
      </w:r>
      <w:proofErr w:type="spellEnd"/>
      <w:r>
        <w:rPr>
          <w:rFonts w:ascii="Bookman Old Style" w:hAnsi="Bookman Old Style"/>
        </w:rPr>
        <w:t xml:space="preserve">, </w:t>
      </w:r>
      <w:r w:rsidR="00F80E67">
        <w:rPr>
          <w:rFonts w:ascii="Bookman Old Style" w:hAnsi="Bookman Old Style"/>
        </w:rPr>
        <w:t xml:space="preserve">nebo skryté významy u Leonarda </w:t>
      </w:r>
      <w:proofErr w:type="spellStart"/>
      <w:r w:rsidR="00F80E67">
        <w:rPr>
          <w:rFonts w:ascii="Bookman Old Style" w:hAnsi="Bookman Old Style"/>
        </w:rPr>
        <w:t>da</w:t>
      </w:r>
      <w:proofErr w:type="spellEnd"/>
      <w:r w:rsidR="00F80E67">
        <w:rPr>
          <w:rFonts w:ascii="Bookman Old Style" w:hAnsi="Bookman Old Style"/>
        </w:rPr>
        <w:t xml:space="preserve"> </w:t>
      </w:r>
      <w:proofErr w:type="spellStart"/>
      <w:r w:rsidR="00F80E67">
        <w:rPr>
          <w:rFonts w:ascii="Bookman Old Style" w:hAnsi="Bookman Old Style"/>
        </w:rPr>
        <w:t>Vinciho</w:t>
      </w:r>
      <w:proofErr w:type="spellEnd"/>
      <w:r w:rsidR="00F80E67">
        <w:rPr>
          <w:rFonts w:ascii="Bookman Old Style" w:hAnsi="Bookman Old Style"/>
        </w:rPr>
        <w:t xml:space="preserve"> např. – písmeno „o“ a obrázek hrušky, italsky hruška=pera +“o“ = opera </w:t>
      </w:r>
      <w:proofErr w:type="spellStart"/>
      <w:r w:rsidR="00F80E67">
        <w:rPr>
          <w:rFonts w:ascii="Bookman Old Style" w:hAnsi="Bookman Old Style"/>
        </w:rPr>
        <w:t>aopd</w:t>
      </w:r>
      <w:proofErr w:type="spellEnd"/>
      <w:r w:rsidR="00F80E67">
        <w:rPr>
          <w:rFonts w:ascii="Bookman Old Style" w:hAnsi="Bookman Old Style"/>
        </w:rPr>
        <w:t>.)</w:t>
      </w:r>
    </w:p>
    <w:p w:rsidR="00231E57" w:rsidRDefault="00231E57" w:rsidP="00231E57">
      <w:pPr>
        <w:spacing w:line="360" w:lineRule="auto"/>
        <w:jc w:val="both"/>
        <w:rPr>
          <w:rFonts w:ascii="Bookman Old Style" w:hAnsi="Bookman Old Style"/>
        </w:rPr>
      </w:pPr>
    </w:p>
    <w:p w:rsidR="00231E57" w:rsidRDefault="00F80E67" w:rsidP="00231E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 - </w:t>
      </w:r>
      <w:r w:rsidR="00231E57">
        <w:rPr>
          <w:rFonts w:ascii="Bookman Old Style" w:hAnsi="Bookman Old Style"/>
        </w:rPr>
        <w:t>Slavnosti:</w:t>
      </w:r>
    </w:p>
    <w:p w:rsidR="000F3FB0" w:rsidRDefault="000F3FB0" w:rsidP="00231E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Především v 15. a 16. století. Dnes je již obtížné je blíže specifikovat, neboť téměř všechny jsou ztraceny. Jde o jakési nepoetické parafráze průběhu slavnosti/svátku. Slavnostní (efemérní) dekorace známe od 16. století, ale častější jsou až v baroku. </w:t>
      </w:r>
    </w:p>
    <w:p w:rsidR="000F3FB0" w:rsidRDefault="000F3FB0" w:rsidP="00231E57">
      <w:pPr>
        <w:spacing w:line="360" w:lineRule="auto"/>
        <w:jc w:val="both"/>
        <w:rPr>
          <w:rFonts w:ascii="Bookman Old Style" w:hAnsi="Bookman Old Style"/>
        </w:rPr>
      </w:pPr>
    </w:p>
    <w:p w:rsidR="000F3FB0" w:rsidRDefault="000F3FB0" w:rsidP="00231E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 – Rébusy:</w:t>
      </w:r>
    </w:p>
    <w:p w:rsidR="000F3FB0" w:rsidRDefault="000F3FB0" w:rsidP="000F3FB0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obrázkový</w:t>
      </w:r>
    </w:p>
    <w:p w:rsidR="000F3FB0" w:rsidRPr="000F3FB0" w:rsidRDefault="000F3FB0" w:rsidP="000F3FB0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znak s určitým typickým motivem</w:t>
      </w:r>
    </w:p>
    <w:p w:rsidR="00523840" w:rsidRPr="00B56761" w:rsidRDefault="00523840" w:rsidP="00523840">
      <w:pPr>
        <w:pStyle w:val="Odstavecseseznamem"/>
        <w:spacing w:line="360" w:lineRule="auto"/>
        <w:ind w:left="709"/>
        <w:jc w:val="both"/>
        <w:rPr>
          <w:rFonts w:ascii="Bookman Old Style" w:hAnsi="Bookman Old Style"/>
        </w:rPr>
      </w:pPr>
    </w:p>
    <w:p w:rsidR="00F3179F" w:rsidRDefault="00F3179F" w:rsidP="00F3179F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3179F" w:rsidRPr="00F3179F" w:rsidRDefault="00F3179F" w:rsidP="00F3179F">
      <w:pPr>
        <w:spacing w:line="360" w:lineRule="auto"/>
        <w:jc w:val="both"/>
        <w:rPr>
          <w:rFonts w:ascii="Bookman Old Style" w:hAnsi="Bookman Old Style"/>
        </w:rPr>
      </w:pPr>
    </w:p>
    <w:sectPr w:rsidR="00F3179F" w:rsidRPr="00F3179F" w:rsidSect="00710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BBE"/>
    <w:multiLevelType w:val="hybridMultilevel"/>
    <w:tmpl w:val="933CD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B5EA4"/>
    <w:multiLevelType w:val="hybridMultilevel"/>
    <w:tmpl w:val="ECEE241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C1377A"/>
    <w:multiLevelType w:val="hybridMultilevel"/>
    <w:tmpl w:val="F71EF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170A4"/>
    <w:multiLevelType w:val="hybridMultilevel"/>
    <w:tmpl w:val="287ED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F1695"/>
    <w:multiLevelType w:val="hybridMultilevel"/>
    <w:tmpl w:val="F7BCAF1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0437EAB"/>
    <w:multiLevelType w:val="hybridMultilevel"/>
    <w:tmpl w:val="9946A3D0"/>
    <w:lvl w:ilvl="0" w:tplc="5E0C8B7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61941"/>
    <w:multiLevelType w:val="hybridMultilevel"/>
    <w:tmpl w:val="EC32B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F3179F"/>
    <w:rsid w:val="000962DB"/>
    <w:rsid w:val="000F3FB0"/>
    <w:rsid w:val="00210889"/>
    <w:rsid w:val="00231E57"/>
    <w:rsid w:val="002639D5"/>
    <w:rsid w:val="002F4EE9"/>
    <w:rsid w:val="00523840"/>
    <w:rsid w:val="00710E25"/>
    <w:rsid w:val="00B56761"/>
    <w:rsid w:val="00C14467"/>
    <w:rsid w:val="00F3179F"/>
    <w:rsid w:val="00F8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889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0889"/>
    <w:pPr>
      <w:keepNext/>
      <w:tabs>
        <w:tab w:val="left" w:pos="840"/>
      </w:tabs>
      <w:spacing w:line="360" w:lineRule="auto"/>
      <w:jc w:val="both"/>
      <w:outlineLvl w:val="0"/>
    </w:pPr>
    <w:rPr>
      <w:rFonts w:ascii="Bookman Old Style" w:eastAsia="Times New Roman" w:hAnsi="Bookman Old Style" w:cs="Times New Roman"/>
      <w:b/>
      <w:bCs/>
      <w:u w:val="single"/>
    </w:rPr>
  </w:style>
  <w:style w:type="paragraph" w:styleId="Nadpis2">
    <w:name w:val="heading 2"/>
    <w:aliases w:val="textk"/>
    <w:basedOn w:val="Normln"/>
    <w:next w:val="Normln"/>
    <w:link w:val="Nadpis2Char"/>
    <w:qFormat/>
    <w:rsid w:val="00210889"/>
    <w:pPr>
      <w:keepNext/>
      <w:spacing w:line="360" w:lineRule="auto"/>
      <w:jc w:val="both"/>
      <w:outlineLvl w:val="1"/>
    </w:pPr>
    <w:rPr>
      <w:rFonts w:ascii="Bookman Old Style" w:eastAsia="Times New Roman" w:hAnsi="Bookman Old Style" w:cs="Times New Roman"/>
      <w:szCs w:val="32"/>
    </w:rPr>
  </w:style>
  <w:style w:type="paragraph" w:styleId="Nadpis3">
    <w:name w:val="heading 3"/>
    <w:basedOn w:val="Normln"/>
    <w:next w:val="Normln"/>
    <w:link w:val="Nadpis3Char"/>
    <w:qFormat/>
    <w:rsid w:val="00210889"/>
    <w:pPr>
      <w:keepNext/>
      <w:spacing w:line="360" w:lineRule="auto"/>
      <w:jc w:val="both"/>
      <w:outlineLvl w:val="2"/>
    </w:pPr>
    <w:rPr>
      <w:rFonts w:ascii="Bookman Old Style" w:eastAsia="Times New Roman" w:hAnsi="Bookman Old Style" w:cs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0889"/>
    <w:rPr>
      <w:rFonts w:ascii="Bookman Old Style" w:eastAsia="Times New Roman" w:hAnsi="Bookman Old Style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aliases w:val="textk Char"/>
    <w:basedOn w:val="Standardnpsmoodstavce"/>
    <w:link w:val="Nadpis2"/>
    <w:rsid w:val="00210889"/>
    <w:rPr>
      <w:rFonts w:ascii="Bookman Old Style" w:eastAsia="Times New Roman" w:hAnsi="Bookman Old Style" w:cs="Times New Roman"/>
      <w:sz w:val="2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10889"/>
    <w:rPr>
      <w:rFonts w:ascii="Bookman Old Style" w:eastAsia="Times New Roman" w:hAnsi="Bookman Old Style" w:cs="Times New Roman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10889"/>
    <w:pPr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210889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10889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10889"/>
    <w:pPr>
      <w:ind w:left="720"/>
      <w:contextualSpacing/>
    </w:pPr>
    <w:rPr>
      <w:rFonts w:eastAsia="Times New Roman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10889"/>
    <w:pPr>
      <w:keepLines/>
      <w:tabs>
        <w:tab w:val="clear" w:pos="84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iplomka styl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</dc:creator>
  <cp:keywords/>
  <dc:description/>
  <cp:lastModifiedBy>Misa</cp:lastModifiedBy>
  <cp:revision>5</cp:revision>
  <dcterms:created xsi:type="dcterms:W3CDTF">2009-03-24T16:58:00Z</dcterms:created>
  <dcterms:modified xsi:type="dcterms:W3CDTF">2009-03-24T18:04:00Z</dcterms:modified>
</cp:coreProperties>
</file>