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3" w:type="dxa"/>
        <w:tblLayout w:type="fixed"/>
        <w:tblCellMar>
          <w:top w:w="55" w:type="dxa"/>
          <w:left w:w="55" w:type="dxa"/>
          <w:bottom w:w="55" w:type="dxa"/>
          <w:right w:w="55" w:type="dxa"/>
        </w:tblCellMar>
        <w:tblLook w:val="0000"/>
      </w:tblPr>
      <w:tblGrid>
        <w:gridCol w:w="9638"/>
      </w:tblGrid>
      <w:tr w:rsidR="00096F90">
        <w:tc>
          <w:tcPr>
            <w:tcW w:w="9638" w:type="dxa"/>
            <w:tcBorders>
              <w:top w:val="single" w:sz="2" w:space="0" w:color="000000"/>
              <w:left w:val="single" w:sz="2" w:space="0" w:color="000000"/>
              <w:bottom w:val="single" w:sz="2" w:space="0" w:color="000000"/>
              <w:right w:val="single" w:sz="2" w:space="0" w:color="000000"/>
            </w:tcBorders>
          </w:tcPr>
          <w:p w:rsidR="00096F90" w:rsidRDefault="00096F90">
            <w:r>
              <w:t xml:space="preserve">1. Der folgende Software-Lizenzvertrag regelt neben gewerblichen Schutzrechten </w:t>
            </w:r>
            <w:bookmarkStart w:id="0" w:name="OLE_LINK1"/>
            <w:bookmarkStart w:id="1" w:name="OLE_LINK2"/>
            <w:r>
              <w:t xml:space="preserve">Übergabe </w:t>
            </w:r>
            <w:bookmarkEnd w:id="0"/>
            <w:bookmarkEnd w:id="1"/>
            <w:r>
              <w:t>der Software (z. B. als CD-Rom, online als Download, Software-Hinterlegung), eventuelle Systemvoraussetzungen für die Installation der Software, Dokumentation der Software, Wartungsbedingungen, Rechteverteilung bei der Weiterentwicklung,  Kündigungsmodalitäten, Rückgabepflichten und datenschutzrechtliche Fragen.</w:t>
            </w:r>
          </w:p>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1. </w:t>
            </w:r>
            <w:r w:rsidRPr="007136B0">
              <w:t>Tato</w:t>
            </w:r>
            <w:r>
              <w:t xml:space="preserve"> licenční smlouva upravuje kromě </w:t>
            </w:r>
            <w:r w:rsidRPr="0068188F">
              <w:rPr>
                <w:b/>
                <w:bCs/>
              </w:rPr>
              <w:t>ochrany práv průmyslového vlastnictví</w:t>
            </w:r>
            <w:r>
              <w:t xml:space="preserve"> také dodání softwaru (např. jako CD-ROM, </w:t>
            </w:r>
            <w:r w:rsidRPr="0068188F">
              <w:rPr>
                <w:b/>
                <w:bCs/>
              </w:rPr>
              <w:t>online stažení</w:t>
            </w:r>
            <w:r>
              <w:t xml:space="preserve">, uložení), případně systémové požadavky na instalaci softwaru, dokumentaci softwaru, podmínky pro údržbu, </w:t>
            </w:r>
            <w:r w:rsidRPr="0068188F">
              <w:rPr>
                <w:b/>
                <w:bCs/>
              </w:rPr>
              <w:t>rozdělení práv</w:t>
            </w:r>
            <w:r>
              <w:t xml:space="preserve"> v případě dalšího vývoje, způsoby výpovědi, povinnosti při vrácení a otázky právní ochrany dat.</w:t>
            </w:r>
          </w:p>
          <w:p w:rsidR="00096F90" w:rsidRDefault="00096F90"/>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2. Die </w:t>
            </w:r>
            <w:bookmarkStart w:id="2" w:name="OLE_LINK3"/>
            <w:bookmarkStart w:id="3" w:name="OLE_LINK4"/>
            <w:r>
              <w:t xml:space="preserve">Gewährleistungsregelung </w:t>
            </w:r>
            <w:bookmarkEnd w:id="2"/>
            <w:bookmarkEnd w:id="3"/>
            <w:r>
              <w:t>bestimmt, wann dem Lizenznehmer die Möglichkeit eingeräumt wird, die Software selbst zu vervielfältigen und unter eigenem Namen an Endkunden weiter zu veräußern. In diesem Fall ist z. B. ein so genannter OEM-Vertrag zu vereinbaren.</w:t>
            </w:r>
          </w:p>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2. Ustanovení o záruce určí, kdy je nabyvatel licence oprávněn sám software rozmnožit a dále jej </w:t>
            </w:r>
            <w:r w:rsidRPr="0068188F">
              <w:rPr>
                <w:b/>
                <w:bCs/>
              </w:rPr>
              <w:t xml:space="preserve">zcizit </w:t>
            </w:r>
            <w:r>
              <w:t xml:space="preserve">konečným uživatelům pod vlastním jménem. V takovémto případě je nutné sjednat si např. tzv. </w:t>
            </w:r>
            <w:r w:rsidRPr="00D918E5">
              <w:rPr>
                <w:b/>
                <w:bCs/>
              </w:rPr>
              <w:t>OEM smlouvu (smlouva o subdodavateli základních zařízení</w:t>
            </w:r>
            <w:r>
              <w:t>).</w:t>
            </w:r>
          </w:p>
          <w:p w:rsidR="00096F90" w:rsidRDefault="00096F90"/>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3.Um die Nutzungsrechte an Microsoft-Software zu erwerben, haben Sie drei verschiedene Möglichkeiten: </w:t>
            </w:r>
          </w:p>
          <w:p w:rsidR="00096F90" w:rsidRDefault="00096F90"/>
          <w:p w:rsidR="00096F90" w:rsidRDefault="00096F90">
            <w:r>
              <w:t>3. Chcete-li získat užívací práva k softwaru společnosti Microsoft, máte tři různé možnosti:</w:t>
            </w:r>
          </w:p>
          <w:p w:rsidR="00096F90" w:rsidRDefault="00096F90"/>
        </w:tc>
      </w:tr>
      <w:tr w:rsidR="00096F90">
        <w:tc>
          <w:tcPr>
            <w:tcW w:w="9638" w:type="dxa"/>
            <w:tcBorders>
              <w:left w:val="single" w:sz="2" w:space="0" w:color="000000"/>
              <w:bottom w:val="single" w:sz="2" w:space="0" w:color="000000"/>
              <w:right w:val="single" w:sz="2" w:space="0" w:color="000000"/>
            </w:tcBorders>
          </w:tcPr>
          <w:p w:rsidR="00096F90" w:rsidRDefault="00096F90">
            <w:r>
              <w:t>a. Sie kaufen einen neuen PC, auf dem die Microsoft-Software bereits vorinstalliert ist.</w:t>
            </w:r>
          </w:p>
          <w:p w:rsidR="00096F90" w:rsidRDefault="00096F90"/>
          <w:p w:rsidR="00096F90" w:rsidRDefault="00096F90" w:rsidP="00A40B2B">
            <w:r>
              <w:rPr>
                <w:rStyle w:val="hps"/>
              </w:rPr>
              <w:t>a. Koupíte si nový</w:t>
            </w:r>
            <w:r>
              <w:t xml:space="preserve"> </w:t>
            </w:r>
            <w:r>
              <w:rPr>
                <w:rStyle w:val="hps"/>
              </w:rPr>
              <w:t xml:space="preserve">počítač, na kterém je </w:t>
            </w:r>
            <w:r w:rsidRPr="00A40B2B">
              <w:rPr>
                <w:rStyle w:val="hps"/>
              </w:rPr>
              <w:t>software od</w:t>
            </w:r>
            <w:r>
              <w:t xml:space="preserve"> </w:t>
            </w:r>
            <w:r>
              <w:rPr>
                <w:rStyle w:val="hps"/>
              </w:rPr>
              <w:t>společnosti Microsoft</w:t>
            </w:r>
            <w:r>
              <w:t xml:space="preserve"> </w:t>
            </w:r>
            <w:r>
              <w:rPr>
                <w:rStyle w:val="hps"/>
              </w:rPr>
              <w:t>již</w:t>
            </w:r>
            <w:r>
              <w:t xml:space="preserve"> </w:t>
            </w:r>
            <w:r>
              <w:rPr>
                <w:rStyle w:val="hps"/>
              </w:rPr>
              <w:t>nainstalován.</w:t>
            </w:r>
            <w:r>
              <w:t xml:space="preserve"> </w:t>
            </w:r>
          </w:p>
        </w:tc>
      </w:tr>
      <w:tr w:rsidR="00096F90">
        <w:tc>
          <w:tcPr>
            <w:tcW w:w="9638" w:type="dxa"/>
            <w:tcBorders>
              <w:left w:val="single" w:sz="2" w:space="0" w:color="000000"/>
              <w:bottom w:val="single" w:sz="2" w:space="0" w:color="000000"/>
              <w:right w:val="single" w:sz="2" w:space="0" w:color="000000"/>
            </w:tcBorders>
          </w:tcPr>
          <w:p w:rsidR="00096F90" w:rsidRDefault="00096F90">
            <w:r>
              <w:t>b. Sie kaufen Microsoft-Software einzeln, z. B. bei einem zertifizierten Microsoft-Händler.</w:t>
            </w:r>
          </w:p>
          <w:p w:rsidR="00096F90" w:rsidRDefault="00096F90"/>
          <w:p w:rsidR="00096F90" w:rsidRDefault="00096F90" w:rsidP="0008240A">
            <w:r>
              <w:rPr>
                <w:rStyle w:val="hps"/>
              </w:rPr>
              <w:t>b. Koupíte si</w:t>
            </w:r>
            <w:r>
              <w:t xml:space="preserve"> </w:t>
            </w:r>
            <w:r>
              <w:rPr>
                <w:rStyle w:val="hps"/>
              </w:rPr>
              <w:t>software od společnosti Microsoft</w:t>
            </w:r>
            <w:r>
              <w:t xml:space="preserve"> </w:t>
            </w:r>
            <w:r>
              <w:rPr>
                <w:rStyle w:val="hps"/>
              </w:rPr>
              <w:t>samostatně</w:t>
            </w:r>
            <w:r>
              <w:t>, např. u certifikovaného prodejce Microsoftu.</w:t>
            </w:r>
          </w:p>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c. Sie nehmen an einem </w:t>
            </w:r>
            <w:bookmarkStart w:id="4" w:name="OLE_LINK5"/>
            <w:r>
              <w:t xml:space="preserve">Volumenlizenzprogramm </w:t>
            </w:r>
            <w:bookmarkEnd w:id="4"/>
            <w:r>
              <w:t>teil. Diese Möglichkeit ist besonders für Unternehmen interessant, die Lizenzen für mehrere Arbeitsplätze benötigen. Ein Einstieg ist bereits ab 5 Lizenzen möglich.</w:t>
            </w:r>
          </w:p>
        </w:tc>
      </w:tr>
      <w:tr w:rsidR="00096F90">
        <w:tc>
          <w:tcPr>
            <w:tcW w:w="9638" w:type="dxa"/>
            <w:tcBorders>
              <w:left w:val="single" w:sz="2" w:space="0" w:color="000000"/>
              <w:bottom w:val="single" w:sz="2" w:space="0" w:color="000000"/>
              <w:right w:val="single" w:sz="2" w:space="0" w:color="000000"/>
            </w:tcBorders>
          </w:tcPr>
          <w:p w:rsidR="00096F90" w:rsidRDefault="00096F90" w:rsidP="007136B0">
            <w:pPr>
              <w:rPr>
                <w:rStyle w:val="hps"/>
              </w:rPr>
            </w:pPr>
            <w:r>
              <w:rPr>
                <w:rStyle w:val="hps"/>
              </w:rPr>
              <w:t>c. Účastníte se</w:t>
            </w:r>
            <w:r>
              <w:t xml:space="preserve"> </w:t>
            </w:r>
            <w:r>
              <w:rPr>
                <w:rStyle w:val="hps"/>
              </w:rPr>
              <w:t>programu</w:t>
            </w:r>
            <w:r>
              <w:t xml:space="preserve"> </w:t>
            </w:r>
            <w:r>
              <w:rPr>
                <w:rStyle w:val="hps"/>
              </w:rPr>
              <w:t>hromadných licencí</w:t>
            </w:r>
            <w:r>
              <w:t xml:space="preserve">. </w:t>
            </w:r>
            <w:r>
              <w:rPr>
                <w:rStyle w:val="hps"/>
              </w:rPr>
              <w:t>Tato možnost</w:t>
            </w:r>
            <w:r>
              <w:t xml:space="preserve"> </w:t>
            </w:r>
            <w:r>
              <w:rPr>
                <w:rStyle w:val="hps"/>
              </w:rPr>
              <w:t>je zvláště zajímavá</w:t>
            </w:r>
            <w:r>
              <w:t xml:space="preserve"> </w:t>
            </w:r>
            <w:r>
              <w:rPr>
                <w:rStyle w:val="hps"/>
              </w:rPr>
              <w:t>pro firmy, které</w:t>
            </w:r>
            <w:r>
              <w:t xml:space="preserve"> </w:t>
            </w:r>
            <w:r>
              <w:rPr>
                <w:rStyle w:val="hps"/>
              </w:rPr>
              <w:t>potřebují</w:t>
            </w:r>
            <w:r>
              <w:t xml:space="preserve"> </w:t>
            </w:r>
            <w:r>
              <w:rPr>
                <w:rStyle w:val="hps"/>
              </w:rPr>
              <w:t>licence</w:t>
            </w:r>
            <w:r>
              <w:t xml:space="preserve"> </w:t>
            </w:r>
            <w:r>
              <w:rPr>
                <w:rStyle w:val="hps"/>
              </w:rPr>
              <w:t>pro více pracovních míst</w:t>
            </w:r>
            <w:r w:rsidRPr="00D918E5">
              <w:rPr>
                <w:b/>
                <w:bCs/>
              </w:rPr>
              <w:t>. Zapojení se do programu</w:t>
            </w:r>
            <w:r>
              <w:t xml:space="preserve"> je možné </w:t>
            </w:r>
            <w:r>
              <w:rPr>
                <w:rStyle w:val="hps"/>
              </w:rPr>
              <w:t>od 5</w:t>
            </w:r>
            <w:r>
              <w:t xml:space="preserve"> </w:t>
            </w:r>
            <w:r>
              <w:rPr>
                <w:rStyle w:val="hps"/>
              </w:rPr>
              <w:t>licencí.</w:t>
            </w:r>
          </w:p>
          <w:p w:rsidR="00096F90" w:rsidRDefault="00096F90" w:rsidP="007136B0"/>
        </w:tc>
      </w:tr>
      <w:tr w:rsidR="00096F90">
        <w:tc>
          <w:tcPr>
            <w:tcW w:w="9638" w:type="dxa"/>
            <w:tcBorders>
              <w:left w:val="single" w:sz="2" w:space="0" w:color="000000"/>
              <w:bottom w:val="single" w:sz="2" w:space="0" w:color="000000"/>
              <w:right w:val="single" w:sz="2" w:space="0" w:color="000000"/>
            </w:tcBorders>
          </w:tcPr>
          <w:p w:rsidR="00096F90" w:rsidRDefault="00096F90">
            <w:r>
              <w:t>4. Für Software-</w:t>
            </w:r>
            <w:bookmarkStart w:id="5" w:name="OLE_LINK6"/>
            <w:bookmarkStart w:id="6" w:name="OLE_LINK7"/>
            <w:r>
              <w:t>Anwendungen</w:t>
            </w:r>
            <w:bookmarkEnd w:id="5"/>
            <w:bookmarkEnd w:id="6"/>
            <w:r>
              <w:t xml:space="preserve">, Betriebssysteme, Server-Software und </w:t>
            </w:r>
            <w:bookmarkStart w:id="7" w:name="OLE_LINK8"/>
            <w:bookmarkStart w:id="8" w:name="OLE_LINK9"/>
            <w:r>
              <w:t xml:space="preserve">Zugriffslizenzen </w:t>
            </w:r>
            <w:bookmarkEnd w:id="7"/>
            <w:bookmarkEnd w:id="8"/>
            <w:r>
              <w:t xml:space="preserve">für </w:t>
            </w:r>
            <w:bookmarkStart w:id="9" w:name="OLE_LINK10"/>
            <w:bookmarkStart w:id="10" w:name="OLE_LINK11"/>
            <w:r>
              <w:t xml:space="preserve">Geräte </w:t>
            </w:r>
            <w:bookmarkEnd w:id="9"/>
            <w:bookmarkEnd w:id="10"/>
            <w:r>
              <w:t xml:space="preserve">(Client Access Licenses, CALs) gilt, dass eine Lizenz einem bestimmten Gerät zugewiesen wird und ist damit nicht </w:t>
            </w:r>
            <w:bookmarkStart w:id="11" w:name="OLE_LINK12"/>
            <w:bookmarkStart w:id="12" w:name="OLE_LINK13"/>
            <w:r>
              <w:t>personenbezogen</w:t>
            </w:r>
            <w:bookmarkEnd w:id="11"/>
            <w:bookmarkEnd w:id="12"/>
            <w:r>
              <w:t xml:space="preserve">. </w:t>
            </w:r>
            <w:r>
              <w:tab/>
              <w:t xml:space="preserve"> </w:t>
            </w:r>
            <w:r>
              <w:tab/>
              <w:t xml:space="preserve"> </w:t>
            </w:r>
          </w:p>
        </w:tc>
      </w:tr>
      <w:tr w:rsidR="00096F90">
        <w:tc>
          <w:tcPr>
            <w:tcW w:w="9638" w:type="dxa"/>
            <w:tcBorders>
              <w:left w:val="single" w:sz="2" w:space="0" w:color="000000"/>
              <w:bottom w:val="single" w:sz="2" w:space="0" w:color="000000"/>
              <w:right w:val="single" w:sz="2" w:space="0" w:color="000000"/>
            </w:tcBorders>
          </w:tcPr>
          <w:p w:rsidR="00096F90" w:rsidRDefault="00096F90" w:rsidP="00A40B2B">
            <w:pPr>
              <w:rPr>
                <w:rStyle w:val="hps"/>
              </w:rPr>
            </w:pPr>
            <w:r>
              <w:t xml:space="preserve">4. </w:t>
            </w:r>
            <w:r>
              <w:rPr>
                <w:rStyle w:val="hps"/>
              </w:rPr>
              <w:t>Pro softwarové aplikace</w:t>
            </w:r>
            <w:r>
              <w:t xml:space="preserve">, operační systémy, </w:t>
            </w:r>
            <w:r>
              <w:rPr>
                <w:rStyle w:val="hps"/>
              </w:rPr>
              <w:t>serverový software a</w:t>
            </w:r>
            <w:r>
              <w:t xml:space="preserve"> přístupové </w:t>
            </w:r>
            <w:r>
              <w:rPr>
                <w:rStyle w:val="hps"/>
              </w:rPr>
              <w:t>licence pro</w:t>
            </w:r>
            <w:r>
              <w:t xml:space="preserve"> </w:t>
            </w:r>
            <w:r>
              <w:rPr>
                <w:rStyle w:val="hps"/>
              </w:rPr>
              <w:t>zařízení</w:t>
            </w:r>
            <w:r>
              <w:t xml:space="preserve"> (Client Access Licenses, CALs) platí</w:t>
            </w:r>
            <w:r>
              <w:rPr>
                <w:rStyle w:val="hps"/>
              </w:rPr>
              <w:t>, že</w:t>
            </w:r>
            <w:r>
              <w:t xml:space="preserve"> </w:t>
            </w:r>
            <w:r>
              <w:rPr>
                <w:rStyle w:val="hps"/>
              </w:rPr>
              <w:t>licence</w:t>
            </w:r>
            <w:r>
              <w:t xml:space="preserve"> </w:t>
            </w:r>
            <w:r>
              <w:rPr>
                <w:rStyle w:val="hps"/>
              </w:rPr>
              <w:t>bude přidělena</w:t>
            </w:r>
            <w:r>
              <w:t xml:space="preserve"> </w:t>
            </w:r>
            <w:r>
              <w:rPr>
                <w:rStyle w:val="hps"/>
              </w:rPr>
              <w:t>konkrétnímu</w:t>
            </w:r>
            <w:r>
              <w:t xml:space="preserve"> </w:t>
            </w:r>
            <w:r>
              <w:rPr>
                <w:rStyle w:val="hps"/>
              </w:rPr>
              <w:t>zařízení a</w:t>
            </w:r>
            <w:r>
              <w:t xml:space="preserve"> </w:t>
            </w:r>
            <w:r>
              <w:rPr>
                <w:rStyle w:val="hps"/>
              </w:rPr>
              <w:t>ne určité osobě.</w:t>
            </w:r>
          </w:p>
          <w:p w:rsidR="00096F90" w:rsidRDefault="00096F90" w:rsidP="00A40B2B"/>
        </w:tc>
      </w:tr>
      <w:tr w:rsidR="00096F90">
        <w:tc>
          <w:tcPr>
            <w:tcW w:w="9638" w:type="dxa"/>
            <w:tcBorders>
              <w:left w:val="single" w:sz="2" w:space="0" w:color="000000"/>
              <w:bottom w:val="single" w:sz="2" w:space="0" w:color="000000"/>
              <w:right w:val="single" w:sz="2" w:space="0" w:color="000000"/>
            </w:tcBorders>
          </w:tcPr>
          <w:p w:rsidR="00096F90" w:rsidRDefault="00096F90">
            <w:r>
              <w:t>5. Die Softwarehinterlegung (Escrow) erm</w:t>
            </w:r>
            <w:r>
              <w:rPr>
                <w:lang w:val="de-DE"/>
              </w:rPr>
              <w:t>ög</w:t>
            </w:r>
            <w:r>
              <w:t xml:space="preserve">licht die Hinterlegung von Software-Quellcode durch den Lizenzgeber zugunsten des Lizenznehmer einer Software bei einem Ziviltechniker, welcher durch seine Befugnis seitens des Gesetzgebers zur treuhändischen Verwahrung ermächtigt ist. </w:t>
            </w:r>
          </w:p>
          <w:p w:rsidR="00096F90" w:rsidRDefault="00096F90"/>
          <w:p w:rsidR="00096F90" w:rsidRDefault="00096F90" w:rsidP="007136B0">
            <w:r>
              <w:t>5. Úschova zdrojových kód</w:t>
            </w:r>
            <w:r>
              <w:rPr>
                <w:rFonts w:eastAsia="Malgun Gothic"/>
                <w:lang w:eastAsia="ko-KR"/>
              </w:rPr>
              <w:t xml:space="preserve">ů </w:t>
            </w:r>
            <w:r>
              <w:t>softwaru (Escrow) umožňuje uschování zdrojového kódu poskytovatelem licence ve prospěch nabyvatele softwaru u autorizovaného</w:t>
            </w:r>
            <w:r w:rsidRPr="00594808">
              <w:t xml:space="preserve"> inženýr</w:t>
            </w:r>
            <w:r>
              <w:t>a, který je ze zákona zmocněn ho spravovat jako trustee.</w:t>
            </w:r>
          </w:p>
          <w:p w:rsidR="00096F90" w:rsidRDefault="00096F90" w:rsidP="007136B0"/>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6. Sie entspricht dem Notar-Anderkonto und gewährleistet darum höchste finanzielle Absicherung des Verkäufers und des Käufers. </w:t>
            </w:r>
          </w:p>
        </w:tc>
      </w:tr>
      <w:tr w:rsidR="00096F90">
        <w:tc>
          <w:tcPr>
            <w:tcW w:w="9638" w:type="dxa"/>
            <w:tcBorders>
              <w:left w:val="single" w:sz="2" w:space="0" w:color="000000"/>
              <w:bottom w:val="single" w:sz="2" w:space="0" w:color="000000"/>
              <w:right w:val="single" w:sz="2" w:space="0" w:color="000000"/>
            </w:tcBorders>
          </w:tcPr>
          <w:p w:rsidR="00096F90" w:rsidRDefault="00096F90">
            <w:r>
              <w:t>6. Odpovídá notářské úschově, a proto poskytuje nejvyšší zajištění financí pro prodejce i kupujícího.</w:t>
            </w:r>
          </w:p>
          <w:p w:rsidR="00096F90" w:rsidRDefault="00096F90"/>
        </w:tc>
      </w:tr>
      <w:tr w:rsidR="00096F90">
        <w:tc>
          <w:tcPr>
            <w:tcW w:w="9638" w:type="dxa"/>
            <w:tcBorders>
              <w:left w:val="single" w:sz="2" w:space="0" w:color="000000"/>
              <w:bottom w:val="single" w:sz="2" w:space="0" w:color="000000"/>
              <w:right w:val="single" w:sz="2" w:space="0" w:color="000000"/>
            </w:tcBorders>
          </w:tcPr>
          <w:p w:rsidR="00096F90" w:rsidRDefault="00096F90">
            <w:r>
              <w:t>7. Der Hinterlegungsvertrag legt fest, unter welchen Umständen der Quellcode an den Anwender (Lizenznehmer) herausgegeben werden kann (wie zum Beispiel bei Konkurs oder Geschäftsauflösung, für den Fall, dass der Lizenzgeber seinen Verpflichtungen nicht nachkommt u.v.a.m.).</w:t>
            </w:r>
          </w:p>
          <w:p w:rsidR="00096F90" w:rsidRDefault="00096F90"/>
          <w:p w:rsidR="00096F90" w:rsidRDefault="00096F90">
            <w:r>
              <w:t xml:space="preserve">7. Svěřenencká smlouva stanovuje, za kterých podmínek může být zdrojový kód vydán uživateli (nabyvateli), např. při vyhlášení konkurzu nebo </w:t>
            </w:r>
            <w:r w:rsidRPr="00A30E64">
              <w:rPr>
                <w:b/>
                <w:bCs/>
              </w:rPr>
              <w:t>zániku</w:t>
            </w:r>
            <w:r>
              <w:t xml:space="preserve"> společnosti, pro případ, že poskytovatel licence nedostojí svým povinnostem aj.</w:t>
            </w:r>
          </w:p>
          <w:p w:rsidR="00096F90" w:rsidRDefault="00096F90"/>
        </w:tc>
      </w:tr>
      <w:tr w:rsidR="00096F90">
        <w:tc>
          <w:tcPr>
            <w:tcW w:w="9638" w:type="dxa"/>
            <w:tcBorders>
              <w:left w:val="single" w:sz="2" w:space="0" w:color="000000"/>
              <w:bottom w:val="single" w:sz="2" w:space="0" w:color="000000"/>
              <w:right w:val="single" w:sz="2" w:space="0" w:color="000000"/>
            </w:tcBorders>
          </w:tcPr>
          <w:p w:rsidR="00096F90" w:rsidRDefault="00096F90">
            <w:r>
              <w:t>8. Die Bereitschaft zur Software-Hinterlegung bietet dem Anwender die gewünschte Sicherheit. Der Anwender kann dadurch seine Investitionen in die Software besser absichern.</w:t>
            </w:r>
          </w:p>
        </w:tc>
      </w:tr>
      <w:tr w:rsidR="00096F90">
        <w:tc>
          <w:tcPr>
            <w:tcW w:w="9638" w:type="dxa"/>
            <w:tcBorders>
              <w:left w:val="single" w:sz="2" w:space="0" w:color="000000"/>
              <w:bottom w:val="single" w:sz="2" w:space="0" w:color="000000"/>
              <w:right w:val="single" w:sz="2" w:space="0" w:color="000000"/>
            </w:tcBorders>
          </w:tcPr>
          <w:p w:rsidR="00096F90" w:rsidRDefault="00096F90"/>
          <w:p w:rsidR="00096F90" w:rsidRDefault="00096F90">
            <w:r>
              <w:t xml:space="preserve">8. </w:t>
            </w:r>
            <w:r w:rsidRPr="00A30E64">
              <w:rPr>
                <w:b/>
                <w:bCs/>
              </w:rPr>
              <w:t>Ochota</w:t>
            </w:r>
            <w:r>
              <w:t xml:space="preserve"> přistoupit na úschovu zdrojových kódů poskytuje uživateli požadovanou jistotu. Může tím své investice do softwaru lépe zajistit.</w:t>
            </w:r>
          </w:p>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273 slov </w:t>
            </w:r>
          </w:p>
        </w:tc>
      </w:tr>
      <w:tr w:rsidR="00096F90">
        <w:tc>
          <w:tcPr>
            <w:tcW w:w="9638" w:type="dxa"/>
            <w:tcBorders>
              <w:left w:val="single" w:sz="2" w:space="0" w:color="000000"/>
              <w:bottom w:val="single" w:sz="2" w:space="0" w:color="000000"/>
              <w:right w:val="single" w:sz="2" w:space="0" w:color="000000"/>
            </w:tcBorders>
          </w:tcPr>
          <w:p w:rsidR="00096F90" w:rsidRDefault="00096F90">
            <w:r>
              <w:t xml:space="preserve"> </w:t>
            </w:r>
            <w:r>
              <w:tab/>
              <w:t xml:space="preserve"> </w:t>
            </w:r>
          </w:p>
        </w:tc>
      </w:tr>
      <w:tr w:rsidR="00096F90">
        <w:tc>
          <w:tcPr>
            <w:tcW w:w="9638" w:type="dxa"/>
            <w:tcBorders>
              <w:left w:val="single" w:sz="2" w:space="0" w:color="000000"/>
              <w:bottom w:val="single" w:sz="2" w:space="0" w:color="000000"/>
              <w:right w:val="single" w:sz="2" w:space="0" w:color="000000"/>
            </w:tcBorders>
          </w:tcPr>
          <w:p w:rsidR="00096F90" w:rsidRDefault="00096F90"/>
        </w:tc>
      </w:tr>
    </w:tbl>
    <w:p w:rsidR="00096F90" w:rsidRDefault="00096F90"/>
    <w:sectPr w:rsidR="00096F90" w:rsidSect="00B040E4">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F9C"/>
    <w:rsid w:val="0008240A"/>
    <w:rsid w:val="00096F90"/>
    <w:rsid w:val="0013656B"/>
    <w:rsid w:val="003B57F6"/>
    <w:rsid w:val="00594808"/>
    <w:rsid w:val="0068188F"/>
    <w:rsid w:val="007136B0"/>
    <w:rsid w:val="00730A05"/>
    <w:rsid w:val="00736F9C"/>
    <w:rsid w:val="0081050E"/>
    <w:rsid w:val="0089476E"/>
    <w:rsid w:val="009B5C03"/>
    <w:rsid w:val="00A30E64"/>
    <w:rsid w:val="00A40B2B"/>
    <w:rsid w:val="00A5779E"/>
    <w:rsid w:val="00B040E4"/>
    <w:rsid w:val="00C17FC8"/>
    <w:rsid w:val="00C53F77"/>
    <w:rsid w:val="00CB34C3"/>
    <w:rsid w:val="00D07F47"/>
    <w:rsid w:val="00D918E5"/>
    <w:rsid w:val="00F143EA"/>
    <w:rsid w:val="00F43B4A"/>
    <w:rsid w:val="00F52569"/>
    <w:rsid w:val="00F8071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E4"/>
    <w:pPr>
      <w:widowControl w:val="0"/>
      <w:suppressAutoHyphens/>
    </w:pPr>
    <w:rPr>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uiPriority w:val="99"/>
    <w:rsid w:val="00B040E4"/>
  </w:style>
  <w:style w:type="paragraph" w:customStyle="1" w:styleId="Heading">
    <w:name w:val="Heading"/>
    <w:basedOn w:val="Normal"/>
    <w:next w:val="BodyText"/>
    <w:uiPriority w:val="99"/>
    <w:rsid w:val="00B040E4"/>
    <w:pPr>
      <w:keepNext/>
      <w:spacing w:before="240" w:after="120"/>
    </w:pPr>
    <w:rPr>
      <w:rFonts w:ascii="Arial" w:hAnsi="Arial" w:cs="Arial"/>
      <w:sz w:val="28"/>
      <w:szCs w:val="28"/>
    </w:rPr>
  </w:style>
  <w:style w:type="paragraph" w:styleId="BodyText">
    <w:name w:val="Body Text"/>
    <w:basedOn w:val="Normal"/>
    <w:link w:val="BodyTextChar"/>
    <w:uiPriority w:val="99"/>
    <w:rsid w:val="00B040E4"/>
    <w:pPr>
      <w:spacing w:after="120"/>
    </w:pPr>
  </w:style>
  <w:style w:type="character" w:customStyle="1" w:styleId="BodyTextChar">
    <w:name w:val="Body Text Char"/>
    <w:basedOn w:val="DefaultParagraphFont"/>
    <w:link w:val="BodyText"/>
    <w:uiPriority w:val="99"/>
    <w:semiHidden/>
    <w:locked/>
    <w:rPr>
      <w:kern w:val="1"/>
      <w:sz w:val="21"/>
      <w:szCs w:val="21"/>
      <w:lang w:eastAsia="hi-IN" w:bidi="hi-IN"/>
    </w:rPr>
  </w:style>
  <w:style w:type="paragraph" w:styleId="List">
    <w:name w:val="List"/>
    <w:basedOn w:val="BodyText"/>
    <w:uiPriority w:val="99"/>
    <w:rsid w:val="00B040E4"/>
  </w:style>
  <w:style w:type="paragraph" w:customStyle="1" w:styleId="Caption1">
    <w:name w:val="Caption1"/>
    <w:basedOn w:val="Normal"/>
    <w:uiPriority w:val="99"/>
    <w:rsid w:val="00B040E4"/>
    <w:pPr>
      <w:suppressLineNumbers/>
      <w:spacing w:before="120" w:after="120"/>
    </w:pPr>
    <w:rPr>
      <w:i/>
      <w:iCs/>
    </w:rPr>
  </w:style>
  <w:style w:type="paragraph" w:customStyle="1" w:styleId="Index">
    <w:name w:val="Index"/>
    <w:basedOn w:val="Normal"/>
    <w:uiPriority w:val="99"/>
    <w:rsid w:val="00B040E4"/>
    <w:pPr>
      <w:suppressLineNumbers/>
    </w:pPr>
  </w:style>
  <w:style w:type="character" w:customStyle="1" w:styleId="hps">
    <w:name w:val="hps"/>
    <w:basedOn w:val="DefaultParagraphFont"/>
    <w:uiPriority w:val="99"/>
    <w:rsid w:val="007136B0"/>
  </w:style>
  <w:style w:type="character" w:customStyle="1" w:styleId="hpsatn">
    <w:name w:val="hps atn"/>
    <w:basedOn w:val="DefaultParagraphFont"/>
    <w:uiPriority w:val="99"/>
    <w:rsid w:val="007136B0"/>
  </w:style>
  <w:style w:type="paragraph" w:styleId="ListParagraph">
    <w:name w:val="List Paragraph"/>
    <w:basedOn w:val="Normal"/>
    <w:uiPriority w:val="99"/>
    <w:qFormat/>
    <w:rsid w:val="00A40B2B"/>
    <w:pPr>
      <w:ind w:left="720"/>
    </w:pPr>
  </w:style>
  <w:style w:type="character" w:styleId="CommentReference">
    <w:name w:val="annotation reference"/>
    <w:basedOn w:val="DefaultParagraphFont"/>
    <w:uiPriority w:val="99"/>
    <w:semiHidden/>
    <w:rsid w:val="00C17FC8"/>
    <w:rPr>
      <w:sz w:val="16"/>
      <w:szCs w:val="16"/>
    </w:rPr>
  </w:style>
  <w:style w:type="paragraph" w:styleId="CommentText">
    <w:name w:val="annotation text"/>
    <w:basedOn w:val="Normal"/>
    <w:link w:val="CommentTextChar"/>
    <w:uiPriority w:val="99"/>
    <w:semiHidden/>
    <w:rsid w:val="00C17FC8"/>
    <w:rPr>
      <w:sz w:val="20"/>
      <w:szCs w:val="20"/>
    </w:rPr>
  </w:style>
  <w:style w:type="character" w:customStyle="1" w:styleId="CommentTextChar">
    <w:name w:val="Comment Text Char"/>
    <w:basedOn w:val="DefaultParagraphFont"/>
    <w:link w:val="CommentText"/>
    <w:uiPriority w:val="99"/>
    <w:semiHidden/>
    <w:rsid w:val="005F1BDB"/>
    <w:rPr>
      <w:rFonts w:cs="Mangal"/>
      <w:kern w:val="1"/>
      <w:sz w:val="20"/>
      <w:szCs w:val="18"/>
      <w:lang w:eastAsia="hi-IN" w:bidi="hi-IN"/>
    </w:rPr>
  </w:style>
  <w:style w:type="paragraph" w:styleId="CommentSubject">
    <w:name w:val="annotation subject"/>
    <w:basedOn w:val="CommentText"/>
    <w:next w:val="CommentText"/>
    <w:link w:val="CommentSubjectChar"/>
    <w:uiPriority w:val="99"/>
    <w:semiHidden/>
    <w:rsid w:val="00C17FC8"/>
    <w:rPr>
      <w:b/>
      <w:bCs/>
    </w:rPr>
  </w:style>
  <w:style w:type="character" w:customStyle="1" w:styleId="CommentSubjectChar">
    <w:name w:val="Comment Subject Char"/>
    <w:basedOn w:val="CommentTextChar"/>
    <w:link w:val="CommentSubject"/>
    <w:uiPriority w:val="99"/>
    <w:semiHidden/>
    <w:rsid w:val="005F1BDB"/>
    <w:rPr>
      <w:b/>
      <w:bCs/>
    </w:rPr>
  </w:style>
  <w:style w:type="paragraph" w:styleId="BalloonText">
    <w:name w:val="Balloon Text"/>
    <w:basedOn w:val="Normal"/>
    <w:link w:val="BalloonTextChar"/>
    <w:uiPriority w:val="99"/>
    <w:semiHidden/>
    <w:rsid w:val="00C17FC8"/>
    <w:rPr>
      <w:rFonts w:ascii="Tahoma" w:hAnsi="Tahoma" w:cs="Tahoma"/>
      <w:sz w:val="16"/>
      <w:szCs w:val="16"/>
    </w:rPr>
  </w:style>
  <w:style w:type="character" w:customStyle="1" w:styleId="BalloonTextChar">
    <w:name w:val="Balloon Text Char"/>
    <w:basedOn w:val="DefaultParagraphFont"/>
    <w:link w:val="BalloonText"/>
    <w:uiPriority w:val="99"/>
    <w:semiHidden/>
    <w:rsid w:val="005F1BDB"/>
    <w:rPr>
      <w:rFonts w:cs="Mangal"/>
      <w:kern w:val="1"/>
      <w:sz w:val="0"/>
      <w:szCs w:val="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617</Words>
  <Characters>3646</Characters>
  <Application>Microsoft Office Outlook</Application>
  <DocSecurity>0</DocSecurity>
  <Lines>0</Lines>
  <Paragraphs>0</Paragraphs>
  <ScaleCrop>false</ScaleCrop>
  <Company>MUFF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Zdenek Marecek</dc:creator>
  <cp:keywords/>
  <dc:description/>
  <cp:lastModifiedBy>User</cp:lastModifiedBy>
  <cp:revision>3</cp:revision>
  <dcterms:created xsi:type="dcterms:W3CDTF">2012-05-10T07:21:00Z</dcterms:created>
  <dcterms:modified xsi:type="dcterms:W3CDTF">2012-05-10T10:57:00Z</dcterms:modified>
</cp:coreProperties>
</file>