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816" w:rsidRPr="00D216E2" w:rsidRDefault="00D57044" w:rsidP="0016242C">
      <w:pPr>
        <w:ind w:firstLine="284"/>
        <w:jc w:val="both"/>
        <w:rPr>
          <w:rFonts w:ascii="Times New Roman" w:hAnsi="Times New Roman" w:cs="Times New Roman"/>
          <w:b/>
          <w:sz w:val="24"/>
          <w:szCs w:val="24"/>
          <w:u w:val="single"/>
        </w:rPr>
      </w:pPr>
      <w:r w:rsidRPr="00D216E2">
        <w:rPr>
          <w:rFonts w:ascii="Times New Roman" w:hAnsi="Times New Roman" w:cs="Times New Roman"/>
          <w:b/>
          <w:sz w:val="24"/>
          <w:szCs w:val="24"/>
          <w:u w:val="single"/>
        </w:rPr>
        <w:t>Základní pravidla vytváření odkazů v odborném textu:</w:t>
      </w:r>
    </w:p>
    <w:p w:rsidR="00E9685C" w:rsidRPr="00D216E2" w:rsidRDefault="00E9685C" w:rsidP="00D216E2">
      <w:pPr>
        <w:jc w:val="both"/>
        <w:rPr>
          <w:rFonts w:ascii="Times New Roman" w:hAnsi="Times New Roman" w:cs="Times New Roman"/>
          <w:sz w:val="24"/>
          <w:szCs w:val="24"/>
        </w:rPr>
      </w:pPr>
    </w:p>
    <w:p w:rsidR="00D57044" w:rsidRPr="00D216E2" w:rsidRDefault="00D57044" w:rsidP="0016242C">
      <w:pPr>
        <w:ind w:firstLine="284"/>
        <w:jc w:val="both"/>
        <w:rPr>
          <w:rFonts w:ascii="Times New Roman" w:hAnsi="Times New Roman" w:cs="Times New Roman"/>
          <w:b/>
          <w:sz w:val="24"/>
          <w:szCs w:val="24"/>
        </w:rPr>
      </w:pPr>
      <w:r w:rsidRPr="00D216E2">
        <w:rPr>
          <w:rFonts w:ascii="Times New Roman" w:hAnsi="Times New Roman" w:cs="Times New Roman"/>
          <w:b/>
          <w:sz w:val="24"/>
          <w:szCs w:val="24"/>
        </w:rPr>
        <w:t xml:space="preserve">1) Samostatný odkaz na zdroj uvádíme v závorce přímo v textu: </w:t>
      </w:r>
    </w:p>
    <w:p w:rsidR="00D57044" w:rsidRPr="00D216E2" w:rsidRDefault="00D57044" w:rsidP="0016242C">
      <w:pPr>
        <w:ind w:firstLine="284"/>
        <w:jc w:val="both"/>
        <w:rPr>
          <w:rFonts w:ascii="Times New Roman" w:hAnsi="Times New Roman" w:cs="Times New Roman"/>
          <w:sz w:val="24"/>
          <w:szCs w:val="24"/>
        </w:rPr>
      </w:pPr>
      <w:r w:rsidRPr="00D216E2">
        <w:rPr>
          <w:rFonts w:ascii="Times New Roman" w:hAnsi="Times New Roman" w:cs="Times New Roman"/>
          <w:sz w:val="24"/>
          <w:szCs w:val="24"/>
        </w:rPr>
        <w:t xml:space="preserve">O tom hovoří </w:t>
      </w:r>
      <w:r w:rsidR="007F3884" w:rsidRPr="00D216E2">
        <w:rPr>
          <w:rFonts w:ascii="Times New Roman" w:hAnsi="Times New Roman" w:cs="Times New Roman"/>
          <w:sz w:val="24"/>
          <w:szCs w:val="24"/>
        </w:rPr>
        <w:t xml:space="preserve">rovněž </w:t>
      </w:r>
      <w:r w:rsidRPr="00D216E2">
        <w:rPr>
          <w:rFonts w:ascii="Times New Roman" w:hAnsi="Times New Roman" w:cs="Times New Roman"/>
          <w:sz w:val="24"/>
          <w:szCs w:val="24"/>
        </w:rPr>
        <w:t>Plaks (2006, 130)</w:t>
      </w:r>
      <w:r w:rsidR="007F3884" w:rsidRPr="00D216E2">
        <w:rPr>
          <w:rFonts w:ascii="Times New Roman" w:hAnsi="Times New Roman" w:cs="Times New Roman"/>
          <w:sz w:val="24"/>
          <w:szCs w:val="24"/>
        </w:rPr>
        <w:t>, který se domnívá, že ……..</w:t>
      </w:r>
    </w:p>
    <w:p w:rsidR="00D57044" w:rsidRPr="00D216E2" w:rsidRDefault="00D57044" w:rsidP="0016242C">
      <w:pPr>
        <w:ind w:firstLine="284"/>
        <w:jc w:val="both"/>
        <w:rPr>
          <w:rFonts w:ascii="Times New Roman" w:hAnsi="Times New Roman" w:cs="Times New Roman"/>
          <w:sz w:val="24"/>
          <w:szCs w:val="24"/>
        </w:rPr>
      </w:pPr>
      <w:r w:rsidRPr="00D216E2">
        <w:rPr>
          <w:rFonts w:ascii="Times New Roman" w:hAnsi="Times New Roman" w:cs="Times New Roman"/>
          <w:sz w:val="24"/>
          <w:szCs w:val="24"/>
        </w:rPr>
        <w:t>Někteří autoři se domnívají, že toto téma zde není zpracováno poprvé (Lomová 2004, 39).</w:t>
      </w:r>
    </w:p>
    <w:p w:rsidR="00D57044" w:rsidRPr="00D216E2" w:rsidRDefault="00D57044" w:rsidP="00D216E2">
      <w:pPr>
        <w:jc w:val="both"/>
        <w:rPr>
          <w:rFonts w:ascii="Times New Roman" w:hAnsi="Times New Roman" w:cs="Times New Roman"/>
          <w:sz w:val="24"/>
          <w:szCs w:val="24"/>
        </w:rPr>
      </w:pPr>
    </w:p>
    <w:p w:rsidR="000F7CB6" w:rsidRPr="00D216E2" w:rsidRDefault="00D57044" w:rsidP="000F7CB6">
      <w:pPr>
        <w:ind w:firstLine="284"/>
        <w:jc w:val="both"/>
        <w:rPr>
          <w:rFonts w:ascii="Times New Roman" w:hAnsi="Times New Roman" w:cs="Times New Roman"/>
          <w:b/>
          <w:sz w:val="24"/>
          <w:szCs w:val="24"/>
        </w:rPr>
      </w:pPr>
      <w:r w:rsidRPr="00D216E2">
        <w:rPr>
          <w:rFonts w:ascii="Times New Roman" w:hAnsi="Times New Roman" w:cs="Times New Roman"/>
          <w:b/>
          <w:sz w:val="24"/>
          <w:szCs w:val="24"/>
        </w:rPr>
        <w:t xml:space="preserve">2) V poznámkách pod čarou bibliografické odkazy samostatně nepoužívejte. </w:t>
      </w:r>
    </w:p>
    <w:p w:rsidR="00D57044" w:rsidRPr="00D216E2" w:rsidRDefault="00D57044" w:rsidP="0016242C">
      <w:pPr>
        <w:ind w:firstLine="284"/>
        <w:jc w:val="both"/>
        <w:rPr>
          <w:rFonts w:ascii="Times New Roman" w:hAnsi="Times New Roman" w:cs="Times New Roman"/>
          <w:sz w:val="24"/>
          <w:szCs w:val="24"/>
        </w:rPr>
      </w:pPr>
      <w:r w:rsidRPr="00D216E2">
        <w:rPr>
          <w:rFonts w:ascii="Times New Roman" w:hAnsi="Times New Roman" w:cs="Times New Roman"/>
          <w:sz w:val="24"/>
          <w:szCs w:val="24"/>
        </w:rPr>
        <w:t>Maximálně se může objevit tento a další analogické případy:</w:t>
      </w:r>
    </w:p>
    <w:p w:rsidR="00D57044" w:rsidRPr="00D216E2" w:rsidRDefault="00D57044" w:rsidP="000F7CB6">
      <w:pPr>
        <w:ind w:firstLine="284"/>
        <w:jc w:val="both"/>
        <w:rPr>
          <w:rFonts w:ascii="Times New Roman" w:hAnsi="Times New Roman" w:cs="Times New Roman"/>
          <w:sz w:val="24"/>
          <w:szCs w:val="24"/>
        </w:rPr>
      </w:pPr>
      <w:r w:rsidRPr="00D216E2">
        <w:rPr>
          <w:rFonts w:ascii="Times New Roman" w:hAnsi="Times New Roman" w:cs="Times New Roman"/>
          <w:sz w:val="24"/>
          <w:szCs w:val="24"/>
        </w:rPr>
        <w:t xml:space="preserve">K tomuto tématu viz/srov. Wang 1957, 25–31.     (Tj. víceslovný odkaz na zdroj.) </w:t>
      </w:r>
    </w:p>
    <w:p w:rsidR="00D57044" w:rsidRPr="00D216E2" w:rsidRDefault="00D57044" w:rsidP="0016242C">
      <w:pPr>
        <w:ind w:firstLine="284"/>
        <w:jc w:val="both"/>
        <w:rPr>
          <w:rFonts w:ascii="Times New Roman" w:hAnsi="Times New Roman" w:cs="Times New Roman"/>
          <w:sz w:val="24"/>
          <w:szCs w:val="24"/>
        </w:rPr>
      </w:pPr>
      <w:r w:rsidRPr="00D216E2">
        <w:rPr>
          <w:rFonts w:ascii="Times New Roman" w:hAnsi="Times New Roman" w:cs="Times New Roman"/>
          <w:sz w:val="24"/>
          <w:szCs w:val="24"/>
        </w:rPr>
        <w:t>{„viz“ – používáme při odkazu na zdroje, ze kterých čerpáme, ve kterých je tedy téma pojato stejně jako v mém textu; „srov.“ – odkaz na zdroj, který uvádí jiný výklad než je ten v mém textu}</w:t>
      </w:r>
    </w:p>
    <w:p w:rsidR="00D57044" w:rsidRPr="00D216E2" w:rsidRDefault="00D57044" w:rsidP="0016242C">
      <w:pPr>
        <w:ind w:firstLine="284"/>
        <w:jc w:val="both"/>
        <w:rPr>
          <w:rFonts w:ascii="Times New Roman" w:hAnsi="Times New Roman" w:cs="Times New Roman"/>
          <w:sz w:val="24"/>
          <w:szCs w:val="24"/>
        </w:rPr>
      </w:pPr>
    </w:p>
    <w:p w:rsidR="00AE01D5" w:rsidRPr="00D216E2" w:rsidRDefault="00AE01D5" w:rsidP="0016242C">
      <w:pPr>
        <w:ind w:firstLine="284"/>
        <w:jc w:val="both"/>
        <w:rPr>
          <w:rFonts w:ascii="Times New Roman" w:hAnsi="Times New Roman" w:cs="Times New Roman"/>
          <w:b/>
          <w:sz w:val="24"/>
          <w:szCs w:val="24"/>
        </w:rPr>
      </w:pPr>
      <w:r w:rsidRPr="00D216E2">
        <w:rPr>
          <w:rFonts w:ascii="Times New Roman" w:hAnsi="Times New Roman" w:cs="Times New Roman"/>
          <w:b/>
          <w:sz w:val="24"/>
          <w:szCs w:val="24"/>
        </w:rPr>
        <w:t>3) Přímá citace:</w:t>
      </w:r>
    </w:p>
    <w:p w:rsidR="00AE01D5" w:rsidRPr="00D216E2" w:rsidRDefault="00AE01D5" w:rsidP="0016242C">
      <w:pPr>
        <w:ind w:firstLine="284"/>
        <w:jc w:val="both"/>
        <w:rPr>
          <w:rFonts w:ascii="Times New Roman" w:hAnsi="Times New Roman" w:cs="Times New Roman"/>
          <w:sz w:val="24"/>
          <w:szCs w:val="24"/>
        </w:rPr>
      </w:pPr>
      <w:r w:rsidRPr="00D216E2">
        <w:rPr>
          <w:rFonts w:ascii="Times New Roman" w:hAnsi="Times New Roman" w:cs="Times New Roman"/>
          <w:sz w:val="24"/>
          <w:szCs w:val="24"/>
        </w:rPr>
        <w:t xml:space="preserve">Přímá citace je vždy v uvozovkách a následuje za ní odkaz na zdroj. Dbejte na pozici uvozovek vzhledem k interpunkci. </w:t>
      </w:r>
      <w:r w:rsidR="006D276C" w:rsidRPr="00D216E2">
        <w:rPr>
          <w:rFonts w:ascii="Times New Roman" w:hAnsi="Times New Roman" w:cs="Times New Roman"/>
          <w:sz w:val="24"/>
          <w:szCs w:val="24"/>
        </w:rPr>
        <w:t>Delší citace může být oddělena od hlavního textu jinými prostředky (velikost písma, kurzíva, odsazení) – pak nemusí být v</w:t>
      </w:r>
      <w:r w:rsidR="009A6090" w:rsidRPr="00D216E2">
        <w:rPr>
          <w:rFonts w:ascii="Times New Roman" w:hAnsi="Times New Roman" w:cs="Times New Roman"/>
          <w:sz w:val="24"/>
          <w:szCs w:val="24"/>
        </w:rPr>
        <w:t> </w:t>
      </w:r>
      <w:r w:rsidR="006D276C" w:rsidRPr="00D216E2">
        <w:rPr>
          <w:rFonts w:ascii="Times New Roman" w:hAnsi="Times New Roman" w:cs="Times New Roman"/>
          <w:sz w:val="24"/>
          <w:szCs w:val="24"/>
        </w:rPr>
        <w:t>uvozovkách</w:t>
      </w:r>
      <w:r w:rsidR="009A6090" w:rsidRPr="00D216E2">
        <w:rPr>
          <w:rFonts w:ascii="Times New Roman" w:hAnsi="Times New Roman" w:cs="Times New Roman"/>
          <w:sz w:val="24"/>
          <w:szCs w:val="24"/>
        </w:rPr>
        <w:t>.</w:t>
      </w:r>
    </w:p>
    <w:p w:rsidR="006D276C" w:rsidRPr="00D216E2" w:rsidRDefault="009A6090" w:rsidP="0016242C">
      <w:pPr>
        <w:ind w:firstLine="284"/>
        <w:jc w:val="both"/>
        <w:rPr>
          <w:rFonts w:ascii="Times New Roman" w:eastAsia="SimSun" w:hAnsi="Times New Roman" w:cs="Times New Roman"/>
          <w:sz w:val="24"/>
          <w:szCs w:val="24"/>
          <w:u w:val="single"/>
        </w:rPr>
      </w:pPr>
      <w:r w:rsidRPr="00D216E2">
        <w:rPr>
          <w:rFonts w:ascii="Times New Roman" w:eastAsia="SimSun" w:hAnsi="Times New Roman" w:cs="Times New Roman"/>
          <w:sz w:val="24"/>
          <w:szCs w:val="24"/>
          <w:u w:val="single"/>
        </w:rPr>
        <w:t>Příklady:</w:t>
      </w:r>
    </w:p>
    <w:p w:rsidR="00AE01D5" w:rsidRPr="00D216E2" w:rsidRDefault="00AE01D5" w:rsidP="0016242C">
      <w:pPr>
        <w:ind w:firstLine="284"/>
        <w:jc w:val="both"/>
        <w:rPr>
          <w:rFonts w:ascii="Times New Roman" w:eastAsia="SimSun" w:hAnsi="Times New Roman" w:cs="Times New Roman"/>
          <w:sz w:val="24"/>
          <w:szCs w:val="24"/>
        </w:rPr>
      </w:pPr>
      <w:r w:rsidRPr="00D216E2">
        <w:rPr>
          <w:rFonts w:ascii="Times New Roman" w:eastAsia="SimSun" w:hAnsi="Times New Roman" w:cs="Times New Roman"/>
          <w:sz w:val="24"/>
          <w:szCs w:val="24"/>
        </w:rPr>
        <w:t>Podle Andrewa Plakse patří mezi hlavní rozdíly mezi západní a tradiční čínskou narativní literaturou „rozdíl mezi primátem vypravěčské funkce v jedné tradici a funkcí přenosu hypotetického nebo skutečného faktu v tradici druhé“ (</w:t>
      </w:r>
      <w:r w:rsidRPr="00D216E2">
        <w:rPr>
          <w:rFonts w:ascii="Times New Roman" w:hAnsi="Times New Roman" w:cs="Times New Roman"/>
          <w:sz w:val="24"/>
          <w:szCs w:val="24"/>
        </w:rPr>
        <w:t xml:space="preserve">Plaks </w:t>
      </w:r>
      <w:r w:rsidRPr="00D216E2">
        <w:rPr>
          <w:rFonts w:ascii="Times New Roman" w:eastAsia="SimSun" w:hAnsi="Times New Roman" w:cs="Times New Roman"/>
          <w:sz w:val="24"/>
          <w:szCs w:val="24"/>
        </w:rPr>
        <w:t>1977, 314).</w:t>
      </w:r>
    </w:p>
    <w:p w:rsidR="009A6090" w:rsidRPr="00D216E2" w:rsidRDefault="009A6090" w:rsidP="0016242C">
      <w:pPr>
        <w:ind w:firstLine="284"/>
        <w:jc w:val="both"/>
        <w:rPr>
          <w:rFonts w:ascii="Times New Roman" w:hAnsi="Times New Roman" w:cs="Times New Roman"/>
          <w:sz w:val="24"/>
          <w:szCs w:val="24"/>
        </w:rPr>
      </w:pPr>
    </w:p>
    <w:p w:rsidR="006D276C" w:rsidRPr="00D216E2" w:rsidRDefault="006D276C" w:rsidP="0016242C">
      <w:pPr>
        <w:ind w:firstLine="284"/>
        <w:jc w:val="both"/>
        <w:rPr>
          <w:rFonts w:ascii="Times New Roman" w:hAnsi="Times New Roman" w:cs="Times New Roman"/>
          <w:sz w:val="24"/>
          <w:szCs w:val="24"/>
        </w:rPr>
      </w:pPr>
      <w:r w:rsidRPr="00D216E2">
        <w:rPr>
          <w:rFonts w:ascii="Times New Roman" w:hAnsi="Times New Roman" w:cs="Times New Roman"/>
          <w:sz w:val="24"/>
          <w:szCs w:val="24"/>
        </w:rPr>
        <w:t>Podle Maxe Webera (1951, 226) měl v</w:t>
      </w:r>
      <w:r w:rsidRPr="00D216E2">
        <w:rPr>
          <w:rFonts w:ascii="Times New Roman" w:eastAsia="SimSun" w:hAnsi="Times New Roman" w:cs="Times New Roman"/>
          <w:sz w:val="24"/>
          <w:szCs w:val="24"/>
        </w:rPr>
        <w:t> protestantismu radikální rozdí</w:t>
      </w:r>
      <w:r w:rsidRPr="00D216E2">
        <w:rPr>
          <w:rFonts w:ascii="Times New Roman" w:hAnsi="Times New Roman" w:cs="Times New Roman"/>
          <w:sz w:val="24"/>
          <w:szCs w:val="24"/>
        </w:rPr>
        <w:t xml:space="preserve">l mezi Bohem a zkaženým světem </w:t>
      </w:r>
      <w:r w:rsidRPr="00D216E2">
        <w:rPr>
          <w:rFonts w:ascii="Times New Roman" w:eastAsia="SimSun" w:hAnsi="Times New Roman" w:cs="Times New Roman"/>
          <w:sz w:val="24"/>
          <w:szCs w:val="24"/>
        </w:rPr>
        <w:t>za následek „skutečně nekonečný úkol racionálně si podrobit a ovládnout svět, tj. racionální, objektivní ‘pokrok’. Tento úkol racionální transformace světa stojí v kontrastu vůči konfuciánskému přizpůsobení se světu</w:t>
      </w:r>
      <w:r w:rsidRPr="00D216E2">
        <w:rPr>
          <w:rFonts w:ascii="Times New Roman" w:hAnsi="Times New Roman" w:cs="Times New Roman"/>
          <w:sz w:val="24"/>
          <w:szCs w:val="24"/>
        </w:rPr>
        <w:t>.</w:t>
      </w:r>
      <w:r w:rsidRPr="00D216E2">
        <w:rPr>
          <w:rFonts w:ascii="Times New Roman" w:eastAsia="SimSun" w:hAnsi="Times New Roman" w:cs="Times New Roman"/>
          <w:sz w:val="24"/>
          <w:szCs w:val="24"/>
        </w:rPr>
        <w:t>“</w:t>
      </w:r>
    </w:p>
    <w:p w:rsidR="009A6090" w:rsidRDefault="009A6090" w:rsidP="00D216E2">
      <w:pPr>
        <w:tabs>
          <w:tab w:val="left" w:pos="360"/>
        </w:tabs>
        <w:spacing w:line="360" w:lineRule="auto"/>
        <w:jc w:val="both"/>
        <w:rPr>
          <w:rFonts w:ascii="Times New Roman" w:hAnsi="Times New Roman" w:cs="Times New Roman"/>
          <w:sz w:val="24"/>
          <w:szCs w:val="24"/>
        </w:rPr>
      </w:pPr>
    </w:p>
    <w:p w:rsidR="00D216E2" w:rsidRDefault="00D216E2" w:rsidP="00D216E2">
      <w:pPr>
        <w:tabs>
          <w:tab w:val="left" w:pos="360"/>
        </w:tabs>
        <w:spacing w:line="360" w:lineRule="auto"/>
        <w:jc w:val="both"/>
        <w:rPr>
          <w:rFonts w:ascii="Times New Roman" w:hAnsi="Times New Roman" w:cs="Times New Roman"/>
          <w:sz w:val="24"/>
          <w:szCs w:val="24"/>
        </w:rPr>
      </w:pPr>
    </w:p>
    <w:p w:rsidR="00D216E2" w:rsidRDefault="00D216E2" w:rsidP="00D216E2">
      <w:pPr>
        <w:tabs>
          <w:tab w:val="left" w:pos="360"/>
        </w:tabs>
        <w:spacing w:line="360" w:lineRule="auto"/>
        <w:jc w:val="both"/>
        <w:rPr>
          <w:rFonts w:ascii="Times New Roman" w:hAnsi="Times New Roman" w:cs="Times New Roman"/>
          <w:sz w:val="24"/>
          <w:szCs w:val="24"/>
        </w:rPr>
      </w:pPr>
    </w:p>
    <w:p w:rsidR="00D216E2" w:rsidRPr="00D216E2" w:rsidRDefault="00D216E2" w:rsidP="00D216E2">
      <w:pPr>
        <w:tabs>
          <w:tab w:val="left" w:pos="360"/>
        </w:tabs>
        <w:spacing w:line="360" w:lineRule="auto"/>
        <w:jc w:val="both"/>
        <w:rPr>
          <w:rFonts w:ascii="Times New Roman" w:hAnsi="Times New Roman" w:cs="Times New Roman"/>
          <w:sz w:val="24"/>
          <w:szCs w:val="24"/>
        </w:rPr>
      </w:pPr>
    </w:p>
    <w:p w:rsidR="006D276C" w:rsidRPr="00D216E2" w:rsidRDefault="006D276C" w:rsidP="0016242C">
      <w:pPr>
        <w:tabs>
          <w:tab w:val="left" w:pos="360"/>
        </w:tabs>
        <w:spacing w:line="360" w:lineRule="auto"/>
        <w:ind w:firstLine="284"/>
        <w:jc w:val="both"/>
        <w:rPr>
          <w:rFonts w:ascii="Times New Roman" w:eastAsia="SimSun" w:hAnsi="Times New Roman" w:cs="Times New Roman"/>
          <w:sz w:val="24"/>
          <w:szCs w:val="24"/>
        </w:rPr>
      </w:pPr>
      <w:r w:rsidRPr="00D216E2">
        <w:rPr>
          <w:rFonts w:ascii="Times New Roman" w:eastAsia="SimSun" w:hAnsi="Times New Roman" w:cs="Times New Roman"/>
          <w:sz w:val="24"/>
          <w:szCs w:val="24"/>
        </w:rPr>
        <w:lastRenderedPageBreak/>
        <w:t>Obecnou kritiku kontrastivních přístupů formuluje následovně Michael Puett</w:t>
      </w:r>
      <w:r w:rsidR="009A6090" w:rsidRPr="00D216E2">
        <w:rPr>
          <w:rFonts w:ascii="Times New Roman" w:hAnsi="Times New Roman" w:cs="Times New Roman"/>
          <w:sz w:val="24"/>
          <w:szCs w:val="24"/>
        </w:rPr>
        <w:t xml:space="preserve"> (2002, 23)</w:t>
      </w:r>
      <w:r w:rsidRPr="00D216E2">
        <w:rPr>
          <w:rFonts w:ascii="Times New Roman" w:eastAsia="SimSun" w:hAnsi="Times New Roman" w:cs="Times New Roman"/>
          <w:sz w:val="24"/>
          <w:szCs w:val="24"/>
        </w:rPr>
        <w:t>:</w:t>
      </w:r>
    </w:p>
    <w:p w:rsidR="006D276C" w:rsidRPr="00A01705" w:rsidRDefault="006D276C" w:rsidP="0016242C">
      <w:pPr>
        <w:ind w:left="567" w:right="567"/>
        <w:jc w:val="both"/>
        <w:rPr>
          <w:rFonts w:ascii="Times New Roman" w:hAnsi="Times New Roman" w:cs="Times New Roman"/>
          <w:sz w:val="20"/>
          <w:szCs w:val="20"/>
        </w:rPr>
      </w:pPr>
      <w:r w:rsidRPr="00A01705">
        <w:rPr>
          <w:rFonts w:ascii="Times New Roman" w:eastAsia="SimSun" w:hAnsi="Times New Roman" w:cs="Times New Roman"/>
          <w:sz w:val="20"/>
          <w:szCs w:val="20"/>
        </w:rPr>
        <w:t>Vytváření takových kontrastivních přístupů vyžaduje vytrhnout určité texty z kontextu a číst je jako předpoklady sdílené celými kulturami, které jsou srovnávány. [...] Rekonstrukce tohoto kontextu nám [naopak] umožňuje podat historický výklad toho, proč byly určité výroky vysloveny, a rekonstruovat provokativní sílu, kterou tyto výroky měly ve své době. Redukovat je na pouhé příklady obecně čínského způsobu myšlení nám znemožňuje zachytit kulturní sílu, již tyto výroky měly.</w:t>
      </w:r>
    </w:p>
    <w:p w:rsidR="00AE01D5" w:rsidRPr="00D216E2" w:rsidRDefault="00AE01D5" w:rsidP="0016242C">
      <w:pPr>
        <w:ind w:firstLine="284"/>
        <w:jc w:val="both"/>
        <w:rPr>
          <w:rFonts w:ascii="Times New Roman" w:hAnsi="Times New Roman" w:cs="Times New Roman"/>
          <w:sz w:val="24"/>
          <w:szCs w:val="24"/>
        </w:rPr>
      </w:pPr>
    </w:p>
    <w:p w:rsidR="00535614" w:rsidRPr="00D216E2" w:rsidRDefault="00535614" w:rsidP="0016242C">
      <w:pPr>
        <w:ind w:firstLine="284"/>
        <w:jc w:val="both"/>
        <w:rPr>
          <w:rFonts w:ascii="Times New Roman" w:hAnsi="Times New Roman" w:cs="Times New Roman"/>
          <w:sz w:val="24"/>
          <w:szCs w:val="24"/>
        </w:rPr>
      </w:pPr>
      <w:r w:rsidRPr="00D216E2">
        <w:rPr>
          <w:rFonts w:ascii="Times New Roman" w:hAnsi="Times New Roman" w:cs="Times New Roman"/>
          <w:sz w:val="24"/>
          <w:szCs w:val="24"/>
        </w:rPr>
        <w:t>Citace z cizojazyčné literatury vždy překládáme!</w:t>
      </w:r>
    </w:p>
    <w:p w:rsidR="007F3884" w:rsidRPr="00D216E2" w:rsidRDefault="007F3884" w:rsidP="0016242C">
      <w:pPr>
        <w:ind w:firstLine="284"/>
        <w:jc w:val="both"/>
        <w:rPr>
          <w:rFonts w:ascii="Times New Roman" w:hAnsi="Times New Roman" w:cs="Times New Roman"/>
          <w:b/>
          <w:sz w:val="24"/>
          <w:szCs w:val="24"/>
        </w:rPr>
      </w:pPr>
    </w:p>
    <w:p w:rsidR="007F3884" w:rsidRPr="00D216E2" w:rsidRDefault="00D57044" w:rsidP="00D216E2">
      <w:pPr>
        <w:ind w:firstLine="284"/>
        <w:jc w:val="both"/>
        <w:rPr>
          <w:rFonts w:ascii="Times New Roman" w:hAnsi="Times New Roman" w:cs="Times New Roman"/>
          <w:b/>
          <w:sz w:val="24"/>
          <w:szCs w:val="24"/>
        </w:rPr>
      </w:pPr>
      <w:r w:rsidRPr="00D216E2">
        <w:rPr>
          <w:rFonts w:ascii="Times New Roman" w:hAnsi="Times New Roman" w:cs="Times New Roman"/>
          <w:b/>
          <w:sz w:val="24"/>
          <w:szCs w:val="24"/>
        </w:rPr>
        <w:t>3) Odkazy na zdroje uvedené v závorce v textu je třeba do textu „zakomponovat“</w:t>
      </w:r>
      <w:r w:rsidR="007F3884" w:rsidRPr="00D216E2">
        <w:rPr>
          <w:rFonts w:ascii="Times New Roman" w:hAnsi="Times New Roman" w:cs="Times New Roman"/>
          <w:b/>
          <w:sz w:val="24"/>
          <w:szCs w:val="24"/>
        </w:rPr>
        <w:t>:</w:t>
      </w:r>
    </w:p>
    <w:p w:rsidR="007F3884" w:rsidRPr="00D216E2" w:rsidRDefault="007F3884" w:rsidP="0016242C">
      <w:pPr>
        <w:ind w:firstLine="284"/>
        <w:jc w:val="both"/>
        <w:rPr>
          <w:rFonts w:ascii="Times New Roman" w:eastAsia="SimSun" w:hAnsi="Times New Roman" w:cs="Times New Roman"/>
          <w:sz w:val="24"/>
          <w:szCs w:val="24"/>
          <w:u w:val="single"/>
        </w:rPr>
      </w:pPr>
      <w:r w:rsidRPr="00D216E2">
        <w:rPr>
          <w:rFonts w:ascii="Times New Roman" w:eastAsia="SimSun" w:hAnsi="Times New Roman" w:cs="Times New Roman"/>
          <w:sz w:val="24"/>
          <w:szCs w:val="24"/>
          <w:u w:val="single"/>
        </w:rPr>
        <w:t>Příklad:</w:t>
      </w:r>
    </w:p>
    <w:p w:rsidR="00AE01D5" w:rsidRPr="00D216E2" w:rsidRDefault="003F3E16" w:rsidP="0016242C">
      <w:pPr>
        <w:ind w:firstLine="284"/>
        <w:jc w:val="both"/>
        <w:rPr>
          <w:rFonts w:ascii="Times New Roman" w:hAnsi="Times New Roman" w:cs="Times New Roman"/>
          <w:sz w:val="24"/>
          <w:szCs w:val="24"/>
        </w:rPr>
      </w:pPr>
      <w:r>
        <w:rPr>
          <w:rFonts w:ascii="Times New Roman" w:eastAsia="SimSun" w:hAnsi="Times New Roman" w:cs="Times New Roman"/>
          <w:sz w:val="24"/>
          <w:szCs w:val="24"/>
        </w:rPr>
        <w:t>Podle Dentonova (</w:t>
      </w:r>
      <w:r w:rsidRPr="00D216E2">
        <w:rPr>
          <w:rFonts w:ascii="Times New Roman" w:eastAsia="SimSun" w:hAnsi="Times New Roman" w:cs="Times New Roman"/>
          <w:sz w:val="24"/>
          <w:szCs w:val="24"/>
        </w:rPr>
        <w:t>1996, 31</w:t>
      </w:r>
      <w:r w:rsidRPr="00D216E2">
        <w:rPr>
          <w:rFonts w:ascii="Times New Roman" w:hAnsi="Times New Roman" w:cs="Times New Roman"/>
          <w:sz w:val="24"/>
          <w:szCs w:val="24"/>
        </w:rPr>
        <w:t>–</w:t>
      </w:r>
      <w:r w:rsidRPr="00D216E2">
        <w:rPr>
          <w:rFonts w:ascii="Times New Roman" w:eastAsia="SimSun" w:hAnsi="Times New Roman" w:cs="Times New Roman"/>
          <w:sz w:val="24"/>
          <w:szCs w:val="24"/>
        </w:rPr>
        <w:t>36)</w:t>
      </w:r>
      <w:r>
        <w:rPr>
          <w:rFonts w:ascii="Times New Roman" w:eastAsia="SimSun" w:hAnsi="Times New Roman" w:cs="Times New Roman"/>
          <w:sz w:val="24"/>
          <w:szCs w:val="24"/>
        </w:rPr>
        <w:t xml:space="preserve"> výkladu r</w:t>
      </w:r>
      <w:r w:rsidR="00AE01D5" w:rsidRPr="00D216E2">
        <w:rPr>
          <w:rFonts w:ascii="Times New Roman" w:eastAsia="SimSun" w:hAnsi="Times New Roman" w:cs="Times New Roman"/>
          <w:sz w:val="24"/>
          <w:szCs w:val="24"/>
        </w:rPr>
        <w:t>ozlišení mezi „reprezentací“ a „ztělesněním“ odráží zásadní rozdíl mezi chápáním lit</w:t>
      </w:r>
      <w:r>
        <w:rPr>
          <w:rFonts w:ascii="Times New Roman" w:hAnsi="Times New Roman" w:cs="Times New Roman"/>
          <w:sz w:val="24"/>
          <w:szCs w:val="24"/>
        </w:rPr>
        <w:t>eratury na Západě a v Číně</w:t>
      </w:r>
      <w:r w:rsidR="00AE01D5" w:rsidRPr="00D216E2">
        <w:rPr>
          <w:rFonts w:ascii="Times New Roman" w:eastAsia="SimSun" w:hAnsi="Times New Roman" w:cs="Times New Roman"/>
          <w:sz w:val="24"/>
          <w:szCs w:val="24"/>
        </w:rPr>
        <w:t>. Západní mimetická tradice se vyznačuje orientací na text jako produkt tvůrčí intence autora a reprezentaci vnější nebo vnitřní skutečnosti. Tyto oblasti jsou chápány jako navzájem izolované a pozornost je tudíž upřena na text jako prostředkující médium, které „zachycuje svět skrze jazyk“ (Anderson 1990, 37). Do popředí se dostává jazykový (znakový) charakter literatury a problematika reference. Naproti tomu tradiční čínský pohled na literární text vychází z předpokladu „bezešvého spojení“ (Yu 1987, 33) mezi autorem, čtenářem, textem a světem. Podle Yu je báseň „literární reakcí básníka na svět kolem něj, jehož je integrální součástí. Neexistují</w:t>
      </w:r>
      <w:r w:rsidR="00FF275D" w:rsidRPr="00D216E2">
        <w:rPr>
          <w:rFonts w:ascii="Times New Roman" w:hAnsi="Times New Roman" w:cs="Times New Roman"/>
          <w:sz w:val="24"/>
          <w:szCs w:val="24"/>
        </w:rPr>
        <w:t xml:space="preserve"> žádné nespojitosti mezi sdílenou tradicí, osobností autora, </w:t>
      </w:r>
      <w:r w:rsidR="00AE01D5" w:rsidRPr="00D216E2">
        <w:rPr>
          <w:rFonts w:ascii="Times New Roman" w:eastAsia="SimSun" w:hAnsi="Times New Roman" w:cs="Times New Roman"/>
          <w:sz w:val="24"/>
          <w:szCs w:val="24"/>
        </w:rPr>
        <w:t>realitou a literárním dílem [...]“ (35). Tvůrčímu aktu autora předchází mimoliterární (a mimojazyková) souvislost všech těchto oblastí, která je založena v celku kultury, a zároveň na principech, jež zakládají svět (bytí) jako celek, a které je proto možné chápat jako ontologické principy. Do popředí se dostává osobnost autora a její sebekultivace, jíž s</w:t>
      </w:r>
      <w:r w:rsidR="00FF275D" w:rsidRPr="00D216E2">
        <w:rPr>
          <w:rFonts w:ascii="Times New Roman" w:hAnsi="Times New Roman" w:cs="Times New Roman"/>
          <w:sz w:val="24"/>
          <w:szCs w:val="24"/>
        </w:rPr>
        <w:t>e tato osobnost stává součástí r</w:t>
      </w:r>
      <w:r w:rsidR="00AE01D5" w:rsidRPr="00D216E2">
        <w:rPr>
          <w:rFonts w:ascii="Times New Roman" w:eastAsia="SimSun" w:hAnsi="Times New Roman" w:cs="Times New Roman"/>
          <w:sz w:val="24"/>
          <w:szCs w:val="24"/>
        </w:rPr>
        <w:t>eality, čímž je uschopněna k literární tvorbě. Tento tradiční přístup k literatuře zůstává podle Dentona v platnosti i v myšlení teoretiků Májového hnutí: „[...] velká část moderního čínského myšlení je motivována touhou obnovit ‘bezešvé spojení’ mezi individuem, textem a světem [...]“ (</w:t>
      </w:r>
      <w:r w:rsidR="00FF275D" w:rsidRPr="00D216E2">
        <w:rPr>
          <w:rFonts w:ascii="Times New Roman" w:eastAsia="SimSun" w:hAnsi="Times New Roman" w:cs="Times New Roman"/>
          <w:sz w:val="24"/>
          <w:szCs w:val="24"/>
        </w:rPr>
        <w:t xml:space="preserve">Denton 1996, </w:t>
      </w:r>
      <w:r w:rsidR="00AE01D5" w:rsidRPr="00D216E2">
        <w:rPr>
          <w:rFonts w:ascii="Times New Roman" w:eastAsia="SimSun" w:hAnsi="Times New Roman" w:cs="Times New Roman"/>
          <w:sz w:val="24"/>
          <w:szCs w:val="24"/>
        </w:rPr>
        <w:t xml:space="preserve">33). </w:t>
      </w:r>
    </w:p>
    <w:p w:rsidR="006D276C" w:rsidRPr="00D216E2" w:rsidRDefault="006D276C" w:rsidP="0016242C">
      <w:pPr>
        <w:ind w:firstLine="284"/>
        <w:jc w:val="both"/>
        <w:rPr>
          <w:rFonts w:ascii="Times New Roman" w:hAnsi="Times New Roman" w:cs="Times New Roman"/>
          <w:sz w:val="24"/>
          <w:szCs w:val="24"/>
        </w:rPr>
      </w:pPr>
    </w:p>
    <w:p w:rsidR="003E2FA6" w:rsidRPr="00D216E2" w:rsidRDefault="003E2FA6" w:rsidP="0016242C">
      <w:pPr>
        <w:ind w:firstLine="284"/>
        <w:jc w:val="both"/>
        <w:rPr>
          <w:rFonts w:ascii="Times New Roman" w:hAnsi="Times New Roman" w:cs="Times New Roman"/>
          <w:b/>
          <w:sz w:val="24"/>
          <w:szCs w:val="24"/>
        </w:rPr>
      </w:pPr>
    </w:p>
    <w:p w:rsidR="003E2FA6" w:rsidRDefault="003E2FA6" w:rsidP="0016242C">
      <w:pPr>
        <w:ind w:firstLine="284"/>
        <w:jc w:val="both"/>
        <w:rPr>
          <w:rFonts w:ascii="Times New Roman" w:hAnsi="Times New Roman" w:cs="Times New Roman"/>
          <w:b/>
          <w:sz w:val="24"/>
          <w:szCs w:val="24"/>
        </w:rPr>
      </w:pPr>
    </w:p>
    <w:p w:rsidR="00D216E2" w:rsidRDefault="00D216E2" w:rsidP="0016242C">
      <w:pPr>
        <w:ind w:firstLine="284"/>
        <w:jc w:val="both"/>
        <w:rPr>
          <w:rFonts w:ascii="Times New Roman" w:hAnsi="Times New Roman" w:cs="Times New Roman"/>
          <w:b/>
          <w:sz w:val="24"/>
          <w:szCs w:val="24"/>
        </w:rPr>
      </w:pPr>
    </w:p>
    <w:p w:rsidR="00D216E2" w:rsidRPr="00D216E2" w:rsidRDefault="00D216E2" w:rsidP="0016242C">
      <w:pPr>
        <w:ind w:firstLine="284"/>
        <w:jc w:val="both"/>
        <w:rPr>
          <w:rFonts w:ascii="Times New Roman" w:hAnsi="Times New Roman" w:cs="Times New Roman"/>
          <w:b/>
          <w:sz w:val="24"/>
          <w:szCs w:val="24"/>
        </w:rPr>
      </w:pPr>
    </w:p>
    <w:p w:rsidR="00205611" w:rsidRDefault="00205611" w:rsidP="0016242C">
      <w:pPr>
        <w:ind w:firstLine="284"/>
        <w:jc w:val="both"/>
        <w:rPr>
          <w:rFonts w:ascii="Times New Roman" w:hAnsi="Times New Roman" w:cs="Times New Roman"/>
          <w:b/>
          <w:sz w:val="24"/>
          <w:szCs w:val="24"/>
        </w:rPr>
      </w:pPr>
    </w:p>
    <w:p w:rsidR="006D276C" w:rsidRPr="00D216E2" w:rsidRDefault="006D276C" w:rsidP="0016242C">
      <w:pPr>
        <w:ind w:firstLine="284"/>
        <w:jc w:val="both"/>
        <w:rPr>
          <w:rFonts w:ascii="Times New Roman" w:eastAsia="SimSun" w:hAnsi="Times New Roman" w:cs="Times New Roman"/>
          <w:b/>
          <w:sz w:val="24"/>
          <w:szCs w:val="24"/>
        </w:rPr>
      </w:pPr>
      <w:r w:rsidRPr="00D216E2">
        <w:rPr>
          <w:rFonts w:ascii="Times New Roman" w:hAnsi="Times New Roman" w:cs="Times New Roman"/>
          <w:b/>
          <w:sz w:val="24"/>
          <w:szCs w:val="24"/>
        </w:rPr>
        <w:lastRenderedPageBreak/>
        <w:t>Chybné odkazování:</w:t>
      </w:r>
    </w:p>
    <w:p w:rsidR="00D57044" w:rsidRPr="00D216E2" w:rsidRDefault="003E2FA6" w:rsidP="0016242C">
      <w:pPr>
        <w:ind w:firstLine="284"/>
        <w:jc w:val="both"/>
        <w:rPr>
          <w:rFonts w:ascii="Times New Roman" w:hAnsi="Times New Roman" w:cs="Times New Roman"/>
          <w:sz w:val="24"/>
          <w:szCs w:val="24"/>
        </w:rPr>
      </w:pPr>
      <w:r w:rsidRPr="00D216E2">
        <w:rPr>
          <w:rFonts w:ascii="Times New Roman" w:hAnsi="Times New Roman" w:cs="Times New Roman"/>
          <w:color w:val="000000" w:themeColor="text1"/>
          <w:sz w:val="24"/>
          <w:szCs w:val="24"/>
        </w:rPr>
        <w:t>Období pěti dynastií a deseti království, jak je toto období někdy nazýváno, představovalo opět rozdělení říše na severní a jižní. Na severu se v relativně krátkých historických úsecích vystřídalo pět dynastií a na jihu deset království. Klasickou čínskou historiografií je toto období považováno za období temna. V tomto období však na mnoha místech docházelo ke značnému rozvoji umění, především krajinomalby, malby květin a ptáků. Ke konci dynastie Jižní Tang vznikla v hlavním městě Nanjingu Císařská malířská akademie. Za</w:t>
      </w:r>
      <w:r w:rsidR="00865CC8" w:rsidRPr="00D216E2">
        <w:rPr>
          <w:rFonts w:ascii="Times New Roman" w:hAnsi="Times New Roman" w:cs="Times New Roman"/>
          <w:color w:val="000000" w:themeColor="text1"/>
          <w:sz w:val="24"/>
          <w:szCs w:val="24"/>
        </w:rPr>
        <w:t>ložil ji císař Li Yu (vládl 961</w:t>
      </w:r>
      <w:r w:rsidR="00865CC8" w:rsidRPr="00D216E2">
        <w:rPr>
          <w:rFonts w:ascii="Times New Roman" w:hAnsi="Times New Roman" w:cs="Times New Roman"/>
          <w:sz w:val="24"/>
          <w:szCs w:val="24"/>
        </w:rPr>
        <w:t>–</w:t>
      </w:r>
      <w:r w:rsidRPr="00D216E2">
        <w:rPr>
          <w:rFonts w:ascii="Times New Roman" w:hAnsi="Times New Roman" w:cs="Times New Roman"/>
          <w:color w:val="000000" w:themeColor="text1"/>
          <w:sz w:val="24"/>
          <w:szCs w:val="24"/>
        </w:rPr>
        <w:t>975), který byl milovníkem umění, velkým mecenášem, sběratelem a velmi dobrým kaligrafem.  Ke spoustě obrazů, které prošly jeho sbírkami, připisoval názvy děl a kolofony ve svém originálním císařském stylu, tzv. „zlaté písmo ostré jako nůž“ (jin cuodao shu), který se potom stal předlohou nebo by se dalo říct předchůdcem pro kaligrafii pozdně severosongského císaře Huizonga a pro jeho císařský styl „zlatého štíhlého písma“ (Zádrapa 2009).</w:t>
      </w:r>
    </w:p>
    <w:p w:rsidR="0016242C" w:rsidRPr="00D216E2" w:rsidRDefault="0016242C" w:rsidP="00D216E2">
      <w:pPr>
        <w:jc w:val="both"/>
        <w:rPr>
          <w:rFonts w:ascii="Times New Roman" w:hAnsi="Times New Roman" w:cs="Times New Roman"/>
          <w:sz w:val="24"/>
          <w:szCs w:val="24"/>
        </w:rPr>
      </w:pPr>
    </w:p>
    <w:p w:rsidR="003E2FA6" w:rsidRPr="00D216E2" w:rsidRDefault="003E2FA6" w:rsidP="0016242C">
      <w:pPr>
        <w:ind w:firstLine="284"/>
        <w:jc w:val="both"/>
        <w:rPr>
          <w:rFonts w:ascii="Times New Roman" w:hAnsi="Times New Roman" w:cs="Times New Roman"/>
          <w:b/>
          <w:sz w:val="24"/>
          <w:szCs w:val="24"/>
        </w:rPr>
      </w:pPr>
      <w:r w:rsidRPr="00D216E2">
        <w:rPr>
          <w:rFonts w:ascii="Times New Roman" w:hAnsi="Times New Roman" w:cs="Times New Roman"/>
          <w:b/>
          <w:sz w:val="24"/>
          <w:szCs w:val="24"/>
        </w:rPr>
        <w:t>Správně:</w:t>
      </w:r>
    </w:p>
    <w:p w:rsidR="003E2FA6" w:rsidRPr="00D216E2" w:rsidRDefault="003E2FA6" w:rsidP="0016242C">
      <w:pPr>
        <w:ind w:firstLine="284"/>
        <w:jc w:val="both"/>
        <w:rPr>
          <w:rFonts w:ascii="Times New Roman" w:hAnsi="Times New Roman" w:cs="Times New Roman"/>
          <w:sz w:val="24"/>
          <w:szCs w:val="24"/>
        </w:rPr>
      </w:pPr>
      <w:r w:rsidRPr="00D216E2">
        <w:rPr>
          <w:rFonts w:ascii="Times New Roman" w:hAnsi="Times New Roman" w:cs="Times New Roman"/>
          <w:color w:val="000000" w:themeColor="text1"/>
          <w:sz w:val="24"/>
          <w:szCs w:val="24"/>
        </w:rPr>
        <w:t>Období Pěti dynastií, jak je toto období někdy nazýváno, představovalo opět rozdělení říše na severní a jižní.</w:t>
      </w:r>
      <w:r w:rsidRPr="00D216E2">
        <w:rPr>
          <w:rStyle w:val="Znakapoznpodarou"/>
          <w:rFonts w:ascii="Times New Roman" w:hAnsi="Times New Roman" w:cs="Times New Roman"/>
          <w:color w:val="000000" w:themeColor="text1"/>
          <w:sz w:val="24"/>
          <w:szCs w:val="24"/>
        </w:rPr>
        <w:footnoteReference w:id="1"/>
      </w:r>
      <w:r w:rsidRPr="00D216E2">
        <w:rPr>
          <w:rFonts w:ascii="Times New Roman" w:hAnsi="Times New Roman" w:cs="Times New Roman"/>
          <w:color w:val="000000" w:themeColor="text1"/>
          <w:sz w:val="24"/>
          <w:szCs w:val="24"/>
        </w:rPr>
        <w:t xml:space="preserve"> Na severu se v relativně krátkých historických úsecích vystřídalo pět dynastií a na jihu deset království. Klasickou čínskou historiografií je toto období považováno za období temna. V tomto období však na mnoha místech docházelo ke značnému rozvoji umění, především krajinomalby, malby květin a ptáků. Ke konci dynastie Jižní Tang vznikla v hlavním městě Nanjingu Císařská malířská akademie. Za</w:t>
      </w:r>
      <w:r w:rsidR="00865CC8" w:rsidRPr="00D216E2">
        <w:rPr>
          <w:rFonts w:ascii="Times New Roman" w:hAnsi="Times New Roman" w:cs="Times New Roman"/>
          <w:color w:val="000000" w:themeColor="text1"/>
          <w:sz w:val="24"/>
          <w:szCs w:val="24"/>
        </w:rPr>
        <w:t>ložil ji císař Li Yu (vládl 961</w:t>
      </w:r>
      <w:r w:rsidR="00865CC8" w:rsidRPr="00D216E2">
        <w:rPr>
          <w:rFonts w:ascii="Times New Roman" w:hAnsi="Times New Roman" w:cs="Times New Roman"/>
          <w:sz w:val="24"/>
          <w:szCs w:val="24"/>
        </w:rPr>
        <w:t>–</w:t>
      </w:r>
      <w:r w:rsidRPr="00D216E2">
        <w:rPr>
          <w:rFonts w:ascii="Times New Roman" w:hAnsi="Times New Roman" w:cs="Times New Roman"/>
          <w:color w:val="000000" w:themeColor="text1"/>
          <w:sz w:val="24"/>
          <w:szCs w:val="24"/>
        </w:rPr>
        <w:t>975), který byl milovníkem umění, velkým mecenášem, sběratelem a velmi dobrým kaligrafem.  Ke spoustě obrazů, které prošly jeho sbírkami, připisoval názvy děl a kolofony ve svém originálním císařském stylu, tzv. „zlaté písmo ostré jako nůž“ (</w:t>
      </w:r>
      <w:r w:rsidRPr="00D216E2">
        <w:rPr>
          <w:rFonts w:ascii="Times New Roman" w:hAnsi="Times New Roman" w:cs="Times New Roman"/>
          <w:i/>
          <w:color w:val="000000" w:themeColor="text1"/>
          <w:sz w:val="24"/>
          <w:szCs w:val="24"/>
        </w:rPr>
        <w:t>jincuodao shu</w:t>
      </w:r>
      <w:r w:rsidR="00A400E1" w:rsidRPr="00D216E2">
        <w:rPr>
          <w:rFonts w:ascii="Times New Roman" w:hAnsi="Times New Roman" w:cs="Times New Roman"/>
          <w:color w:val="000000" w:themeColor="text1"/>
          <w:sz w:val="24"/>
          <w:szCs w:val="24"/>
        </w:rPr>
        <w:t xml:space="preserve">). Jak uvádí Pejčochová (Pejčochová a Zádrapa 2009, 234), tento styl se později stal předlohou </w:t>
      </w:r>
      <w:r w:rsidRPr="00D216E2">
        <w:rPr>
          <w:rFonts w:ascii="Times New Roman" w:hAnsi="Times New Roman" w:cs="Times New Roman"/>
          <w:color w:val="000000" w:themeColor="text1"/>
          <w:sz w:val="24"/>
          <w:szCs w:val="24"/>
        </w:rPr>
        <w:t>pro kaligrafii pozdně severosongského císaře Huizonga a pro jeho císařský styl „zlatého štíhlého písma“.</w:t>
      </w:r>
    </w:p>
    <w:p w:rsidR="00D57044" w:rsidRPr="00D216E2" w:rsidRDefault="00D57044" w:rsidP="0016242C">
      <w:pPr>
        <w:ind w:firstLine="284"/>
        <w:jc w:val="both"/>
        <w:rPr>
          <w:rFonts w:ascii="Times New Roman" w:hAnsi="Times New Roman" w:cs="Times New Roman"/>
          <w:sz w:val="24"/>
          <w:szCs w:val="24"/>
        </w:rPr>
      </w:pPr>
    </w:p>
    <w:p w:rsidR="00D216E2" w:rsidRPr="00D216E2" w:rsidRDefault="00D216E2" w:rsidP="00D216E2">
      <w:pPr>
        <w:ind w:firstLine="284"/>
        <w:jc w:val="both"/>
        <w:rPr>
          <w:rFonts w:ascii="Times New Roman" w:hAnsi="Times New Roman" w:cs="Times New Roman"/>
          <w:b/>
          <w:sz w:val="24"/>
          <w:szCs w:val="24"/>
        </w:rPr>
      </w:pPr>
      <w:r w:rsidRPr="00D216E2">
        <w:rPr>
          <w:rFonts w:ascii="Times New Roman" w:hAnsi="Times New Roman" w:cs="Times New Roman"/>
          <w:b/>
          <w:sz w:val="24"/>
          <w:szCs w:val="24"/>
        </w:rPr>
        <w:t>Pozor na rozdíl mezi pomlčkou „–“ a spojovníkem „-“:</w:t>
      </w:r>
    </w:p>
    <w:p w:rsidR="00D57044" w:rsidRPr="00D216E2" w:rsidRDefault="00D216E2" w:rsidP="00D216E2">
      <w:pPr>
        <w:ind w:firstLine="284"/>
        <w:jc w:val="both"/>
        <w:rPr>
          <w:rFonts w:ascii="Times New Roman" w:hAnsi="Times New Roman" w:cs="Times New Roman"/>
          <w:sz w:val="24"/>
          <w:szCs w:val="24"/>
          <w:lang w:eastAsia="cs-CZ"/>
        </w:rPr>
      </w:pPr>
      <w:r w:rsidRPr="00D216E2">
        <w:rPr>
          <w:rFonts w:ascii="Times New Roman" w:hAnsi="Times New Roman" w:cs="Times New Roman"/>
          <w:sz w:val="24"/>
          <w:szCs w:val="24"/>
        </w:rPr>
        <w:t>Spojovník používáme pouze pro spojení částí složeného slova, a to bez mezer: např. č</w:t>
      </w:r>
      <w:r w:rsidRPr="00D216E2">
        <w:rPr>
          <w:rFonts w:ascii="Times New Roman" w:hAnsi="Times New Roman" w:cs="Times New Roman"/>
          <w:sz w:val="24"/>
          <w:szCs w:val="24"/>
          <w:lang w:eastAsia="cs-CZ"/>
        </w:rPr>
        <w:t>esko-italský slovník, zemědělsko-lesnické otázky, okres Plzeň-jih.</w:t>
      </w:r>
    </w:p>
    <w:p w:rsidR="00D216E2" w:rsidRPr="00D216E2" w:rsidRDefault="00D216E2" w:rsidP="00D216E2">
      <w:pPr>
        <w:ind w:firstLine="284"/>
        <w:jc w:val="both"/>
        <w:rPr>
          <w:rFonts w:ascii="Times New Roman" w:hAnsi="Times New Roman" w:cs="Times New Roman"/>
          <w:sz w:val="24"/>
          <w:szCs w:val="24"/>
          <w:lang w:eastAsia="cs-CZ"/>
        </w:rPr>
      </w:pPr>
      <w:r w:rsidRPr="00D216E2">
        <w:rPr>
          <w:rFonts w:ascii="Times New Roman" w:hAnsi="Times New Roman" w:cs="Times New Roman"/>
          <w:sz w:val="24"/>
          <w:szCs w:val="24"/>
          <w:lang w:eastAsia="cs-CZ"/>
        </w:rPr>
        <w:t>Pomlčku používáme všude jinde:</w:t>
      </w:r>
    </w:p>
    <w:p w:rsidR="00D216E2" w:rsidRPr="00D216E2" w:rsidRDefault="00D216E2" w:rsidP="00D216E2">
      <w:pPr>
        <w:numPr>
          <w:ilvl w:val="0"/>
          <w:numId w:val="1"/>
        </w:numPr>
        <w:ind w:left="0" w:firstLine="284"/>
        <w:jc w:val="both"/>
        <w:rPr>
          <w:rFonts w:ascii="Times New Roman" w:hAnsi="Times New Roman" w:cs="Times New Roman"/>
          <w:sz w:val="24"/>
          <w:szCs w:val="24"/>
          <w:lang w:eastAsia="cs-CZ"/>
        </w:rPr>
      </w:pPr>
      <w:r w:rsidRPr="00D216E2">
        <w:rPr>
          <w:rFonts w:ascii="Times New Roman" w:hAnsi="Times New Roman" w:cs="Times New Roman"/>
          <w:sz w:val="24"/>
          <w:szCs w:val="24"/>
          <w:lang w:eastAsia="cs-CZ"/>
        </w:rPr>
        <w:t xml:space="preserve">s mezerami po stranách pro oddělení slov, větných úseků nebo vět: např. </w:t>
      </w:r>
      <w:r w:rsidRPr="00D216E2">
        <w:rPr>
          <w:rStyle w:val="ZkladntextCourierNew"/>
          <w:rFonts w:ascii="Times New Roman" w:hAnsi="Times New Roman" w:cs="Times New Roman"/>
          <w:sz w:val="24"/>
          <w:szCs w:val="24"/>
          <w:lang w:eastAsia="cs-CZ"/>
        </w:rPr>
        <w:t xml:space="preserve">zápas Sparta </w:t>
      </w:r>
      <w:r w:rsidRPr="00D216E2">
        <w:rPr>
          <w:rFonts w:ascii="Times New Roman" w:hAnsi="Times New Roman" w:cs="Times New Roman"/>
          <w:sz w:val="24"/>
          <w:szCs w:val="24"/>
        </w:rPr>
        <w:t xml:space="preserve">– </w:t>
      </w:r>
      <w:r w:rsidRPr="00D216E2">
        <w:rPr>
          <w:rStyle w:val="ZkladntextCourierNew"/>
          <w:rFonts w:ascii="Times New Roman" w:hAnsi="Times New Roman" w:cs="Times New Roman"/>
          <w:sz w:val="24"/>
          <w:szCs w:val="24"/>
          <w:lang w:eastAsia="cs-CZ"/>
        </w:rPr>
        <w:t xml:space="preserve">Slavia, </w:t>
      </w:r>
      <w:r w:rsidRPr="00D216E2">
        <w:rPr>
          <w:rFonts w:ascii="Times New Roman" w:hAnsi="Times New Roman" w:cs="Times New Roman"/>
          <w:sz w:val="24"/>
          <w:szCs w:val="24"/>
          <w:lang w:eastAsia="cs-CZ"/>
        </w:rPr>
        <w:t>dálnice Praha – Brno</w:t>
      </w:r>
    </w:p>
    <w:p w:rsidR="00D216E2" w:rsidRPr="00D216E2" w:rsidRDefault="00D216E2" w:rsidP="00D216E2">
      <w:pPr>
        <w:ind w:firstLine="284"/>
        <w:jc w:val="both"/>
        <w:rPr>
          <w:rFonts w:ascii="Times New Roman" w:hAnsi="Times New Roman" w:cs="Times New Roman"/>
          <w:sz w:val="24"/>
          <w:szCs w:val="24"/>
        </w:rPr>
      </w:pPr>
      <w:r w:rsidRPr="00D216E2">
        <w:rPr>
          <w:rFonts w:ascii="Times New Roman" w:hAnsi="Times New Roman" w:cs="Times New Roman"/>
          <w:sz w:val="24"/>
          <w:szCs w:val="24"/>
        </w:rPr>
        <w:t xml:space="preserve">2) bez mezer ve významu „od–do“: </w:t>
      </w:r>
      <w:r w:rsidRPr="00D216E2">
        <w:rPr>
          <w:rFonts w:ascii="Times New Roman" w:hAnsi="Times New Roman" w:cs="Times New Roman"/>
          <w:sz w:val="24"/>
          <w:szCs w:val="24"/>
          <w:lang w:eastAsia="cs-CZ"/>
        </w:rPr>
        <w:t>školní</w:t>
      </w:r>
      <w:r w:rsidR="003F3E16">
        <w:rPr>
          <w:rFonts w:ascii="Times New Roman" w:hAnsi="Times New Roman" w:cs="Times New Roman"/>
          <w:sz w:val="24"/>
          <w:szCs w:val="24"/>
          <w:lang w:eastAsia="cs-CZ"/>
        </w:rPr>
        <w:t xml:space="preserve"> rok 2007–08, dovolená 11.–18. z</w:t>
      </w:r>
      <w:r w:rsidRPr="00D216E2">
        <w:rPr>
          <w:rFonts w:ascii="Times New Roman" w:hAnsi="Times New Roman" w:cs="Times New Roman"/>
          <w:sz w:val="24"/>
          <w:szCs w:val="24"/>
          <w:lang w:eastAsia="cs-CZ"/>
        </w:rPr>
        <w:t>áří, strana 125–142</w:t>
      </w:r>
    </w:p>
    <w:sectPr w:rsidR="00D216E2" w:rsidRPr="00D216E2" w:rsidSect="00205611">
      <w:pgSz w:w="11906" w:h="16838"/>
      <w:pgMar w:top="1276"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FFB" w:rsidRDefault="00205FFB" w:rsidP="003E2FA6">
      <w:pPr>
        <w:spacing w:after="0" w:line="240" w:lineRule="auto"/>
      </w:pPr>
      <w:r>
        <w:separator/>
      </w:r>
    </w:p>
  </w:endnote>
  <w:endnote w:type="continuationSeparator" w:id="0">
    <w:p w:rsidR="00205FFB" w:rsidRDefault="00205FFB" w:rsidP="003E2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FFB" w:rsidRDefault="00205FFB" w:rsidP="003E2FA6">
      <w:pPr>
        <w:spacing w:after="0" w:line="240" w:lineRule="auto"/>
      </w:pPr>
      <w:r>
        <w:separator/>
      </w:r>
    </w:p>
  </w:footnote>
  <w:footnote w:type="continuationSeparator" w:id="0">
    <w:p w:rsidR="00205FFB" w:rsidRDefault="00205FFB" w:rsidP="003E2FA6">
      <w:pPr>
        <w:spacing w:after="0" w:line="240" w:lineRule="auto"/>
      </w:pPr>
      <w:r>
        <w:continuationSeparator/>
      </w:r>
    </w:p>
  </w:footnote>
  <w:footnote w:id="1">
    <w:p w:rsidR="003E2FA6" w:rsidRPr="003E2FA6" w:rsidRDefault="003E2FA6">
      <w:pPr>
        <w:pStyle w:val="Textpoznpodarou"/>
        <w:rPr>
          <w:rFonts w:ascii="Times New Roman" w:hAnsi="Times New Roman" w:cs="Times New Roman"/>
        </w:rPr>
      </w:pPr>
      <w:r w:rsidRPr="003E2FA6">
        <w:rPr>
          <w:rStyle w:val="Znakapoznpodarou"/>
          <w:rFonts w:ascii="Times New Roman" w:hAnsi="Times New Roman" w:cs="Times New Roman"/>
        </w:rPr>
        <w:footnoteRef/>
      </w:r>
      <w:r w:rsidRPr="003E2FA6">
        <w:rPr>
          <w:rFonts w:ascii="Times New Roman" w:hAnsi="Times New Roman" w:cs="Times New Roman"/>
        </w:rPr>
        <w:t xml:space="preserve"> Informace o vývoji kaligrafie v období Pěti dynastií v tomto odstavci čerpám z: Twittchett 1995, 345–358.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A4750"/>
    <w:multiLevelType w:val="hybridMultilevel"/>
    <w:tmpl w:val="F3A48FA2"/>
    <w:lvl w:ilvl="0" w:tplc="146E057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D57044"/>
    <w:rsid w:val="000F7CB6"/>
    <w:rsid w:val="0016242C"/>
    <w:rsid w:val="00205611"/>
    <w:rsid w:val="00205FFB"/>
    <w:rsid w:val="00327A2D"/>
    <w:rsid w:val="003D5314"/>
    <w:rsid w:val="003E2FA6"/>
    <w:rsid w:val="003F3E16"/>
    <w:rsid w:val="00412BB8"/>
    <w:rsid w:val="004F5B6F"/>
    <w:rsid w:val="00535614"/>
    <w:rsid w:val="006D276C"/>
    <w:rsid w:val="006E2E61"/>
    <w:rsid w:val="007C3F3A"/>
    <w:rsid w:val="007F3884"/>
    <w:rsid w:val="00865CC8"/>
    <w:rsid w:val="00953CCB"/>
    <w:rsid w:val="009A6090"/>
    <w:rsid w:val="00A01705"/>
    <w:rsid w:val="00A400E1"/>
    <w:rsid w:val="00A67816"/>
    <w:rsid w:val="00AE01D5"/>
    <w:rsid w:val="00AF32CB"/>
    <w:rsid w:val="00BF0563"/>
    <w:rsid w:val="00C82E20"/>
    <w:rsid w:val="00D216E2"/>
    <w:rsid w:val="00D57044"/>
    <w:rsid w:val="00E9685C"/>
    <w:rsid w:val="00FF275D"/>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781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uiPriority w:val="99"/>
    <w:semiHidden/>
    <w:unhideWhenUsed/>
    <w:rsid w:val="003E2FA6"/>
    <w:rPr>
      <w:vertAlign w:val="superscript"/>
    </w:rPr>
  </w:style>
  <w:style w:type="character" w:styleId="Odkaznakoment">
    <w:name w:val="annotation reference"/>
    <w:basedOn w:val="Standardnpsmoodstavce"/>
    <w:uiPriority w:val="99"/>
    <w:semiHidden/>
    <w:unhideWhenUsed/>
    <w:rsid w:val="003E2FA6"/>
    <w:rPr>
      <w:sz w:val="16"/>
      <w:szCs w:val="16"/>
    </w:rPr>
  </w:style>
  <w:style w:type="paragraph" w:styleId="Textkomente">
    <w:name w:val="annotation text"/>
    <w:basedOn w:val="Normln"/>
    <w:link w:val="TextkomenteChar"/>
    <w:uiPriority w:val="99"/>
    <w:semiHidden/>
    <w:unhideWhenUsed/>
    <w:rsid w:val="003E2FA6"/>
    <w:pPr>
      <w:spacing w:line="240" w:lineRule="auto"/>
    </w:pPr>
    <w:rPr>
      <w:sz w:val="20"/>
      <w:szCs w:val="20"/>
    </w:rPr>
  </w:style>
  <w:style w:type="character" w:customStyle="1" w:styleId="TextkomenteChar">
    <w:name w:val="Text komentáře Char"/>
    <w:basedOn w:val="Standardnpsmoodstavce"/>
    <w:link w:val="Textkomente"/>
    <w:uiPriority w:val="99"/>
    <w:semiHidden/>
    <w:rsid w:val="003E2FA6"/>
    <w:rPr>
      <w:sz w:val="20"/>
      <w:szCs w:val="20"/>
    </w:rPr>
  </w:style>
  <w:style w:type="paragraph" w:styleId="Textbubliny">
    <w:name w:val="Balloon Text"/>
    <w:basedOn w:val="Normln"/>
    <w:link w:val="TextbublinyChar"/>
    <w:uiPriority w:val="99"/>
    <w:semiHidden/>
    <w:unhideWhenUsed/>
    <w:rsid w:val="003E2F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2FA6"/>
    <w:rPr>
      <w:rFonts w:ascii="Tahoma" w:hAnsi="Tahoma" w:cs="Tahoma"/>
      <w:sz w:val="16"/>
      <w:szCs w:val="16"/>
    </w:rPr>
  </w:style>
  <w:style w:type="paragraph" w:styleId="Textpoznpodarou">
    <w:name w:val="footnote text"/>
    <w:basedOn w:val="Normln"/>
    <w:link w:val="TextpoznpodarouChar"/>
    <w:uiPriority w:val="99"/>
    <w:semiHidden/>
    <w:unhideWhenUsed/>
    <w:rsid w:val="003E2FA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E2FA6"/>
    <w:rPr>
      <w:sz w:val="20"/>
      <w:szCs w:val="20"/>
    </w:rPr>
  </w:style>
  <w:style w:type="character" w:customStyle="1" w:styleId="ZkladntextCourierNew">
    <w:name w:val="Základní text + Courier New"/>
    <w:basedOn w:val="Standardnpsmoodstavce"/>
    <w:uiPriority w:val="99"/>
    <w:rsid w:val="00D216E2"/>
    <w:rPr>
      <w:rFonts w:ascii="Courier New" w:hAnsi="Courier New" w:cs="Courier New"/>
      <w:spacing w:val="0"/>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A9D0D-A340-4382-9E87-23E9B2E4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907</Words>
  <Characters>5356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dc:creator>
  <cp:keywords/>
  <dc:description/>
  <cp:lastModifiedBy>dusan</cp:lastModifiedBy>
  <cp:revision>16</cp:revision>
  <cp:lastPrinted>2012-03-06T06:58:00Z</cp:lastPrinted>
  <dcterms:created xsi:type="dcterms:W3CDTF">2012-03-06T05:42:00Z</dcterms:created>
  <dcterms:modified xsi:type="dcterms:W3CDTF">2013-02-27T11:29:00Z</dcterms:modified>
</cp:coreProperties>
</file>