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proofErr w:type="spellStart"/>
      <w:r w:rsidRPr="00BF7F1A">
        <w:rPr>
          <w:sz w:val="24"/>
          <w:szCs w:val="24"/>
        </w:rPr>
        <w:t>Lares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r w:rsidRPr="00BF7F1A">
        <w:rPr>
          <w:i/>
        </w:rPr>
        <w:t xml:space="preserve">atrium – </w:t>
      </w:r>
      <w:proofErr w:type="spellStart"/>
      <w:r w:rsidRPr="00BF7F1A">
        <w:rPr>
          <w:i/>
        </w:rPr>
        <w:t>lararium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Lares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viales</w:t>
      </w:r>
      <w:proofErr w:type="spellEnd"/>
      <w:r w:rsidRPr="00BF7F1A">
        <w:rPr>
          <w:i/>
        </w:rPr>
        <w:t xml:space="preserve">, </w:t>
      </w:r>
      <w:proofErr w:type="spellStart"/>
      <w:r w:rsidRPr="00BF7F1A">
        <w:rPr>
          <w:i/>
        </w:rPr>
        <w:t>permarini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Lares</w:t>
      </w:r>
      <w:proofErr w:type="spellEnd"/>
      <w:r w:rsidRPr="00BF7F1A">
        <w:rPr>
          <w:i/>
        </w:rPr>
        <w:t xml:space="preserve"> gentium, </w:t>
      </w:r>
      <w:proofErr w:type="spellStart"/>
      <w:r w:rsidRPr="00BF7F1A">
        <w:rPr>
          <w:i/>
        </w:rPr>
        <w:t>urbani</w:t>
      </w:r>
      <w:proofErr w:type="spellEnd"/>
      <w:r w:rsidRPr="00BF7F1A">
        <w:rPr>
          <w:i/>
        </w:rPr>
        <w:t xml:space="preserve"> = </w:t>
      </w:r>
      <w:proofErr w:type="spellStart"/>
      <w:r w:rsidRPr="00BF7F1A">
        <w:rPr>
          <w:i/>
        </w:rPr>
        <w:t>hostiles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compita</w:t>
      </w:r>
      <w:proofErr w:type="spellEnd"/>
      <w:r w:rsidRPr="00BF7F1A">
        <w:rPr>
          <w:i/>
        </w:rPr>
        <w:t xml:space="preserve"> </w:t>
      </w:r>
      <w:r w:rsidRPr="00BF7F1A">
        <w:t xml:space="preserve">(křižovatky) </w:t>
      </w:r>
      <w:r w:rsidRPr="00BF7F1A">
        <w:rPr>
          <w:i/>
        </w:rPr>
        <w:t xml:space="preserve">– </w:t>
      </w:r>
      <w:proofErr w:type="spellStart"/>
      <w:r w:rsidRPr="00BF7F1A">
        <w:rPr>
          <w:i/>
        </w:rPr>
        <w:t>lares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compitales</w:t>
      </w:r>
      <w:proofErr w:type="spellEnd"/>
      <w:r w:rsidRPr="00BF7F1A">
        <w:rPr>
          <w:i/>
        </w:rPr>
        <w:t xml:space="preserve"> – </w:t>
      </w:r>
      <w:proofErr w:type="spellStart"/>
      <w:r w:rsidRPr="00BF7F1A">
        <w:rPr>
          <w:i/>
        </w:rPr>
        <w:t>Compitalia</w:t>
      </w:r>
      <w:proofErr w:type="spellEnd"/>
    </w:p>
    <w:p w:rsidR="00BF7F1A" w:rsidRDefault="00BF7F1A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>Genii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gigno</w:t>
      </w:r>
      <w:proofErr w:type="spellEnd"/>
      <w:r w:rsidRPr="00BF7F1A">
        <w:t xml:space="preserve"> (rodím)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r w:rsidRPr="00BF7F1A">
        <w:rPr>
          <w:i/>
        </w:rPr>
        <w:t xml:space="preserve">genius </w:t>
      </w:r>
      <w:proofErr w:type="spellStart"/>
      <w:r w:rsidRPr="00BF7F1A">
        <w:rPr>
          <w:i/>
        </w:rPr>
        <w:t>populi</w:t>
      </w:r>
      <w:proofErr w:type="spellEnd"/>
      <w:r w:rsidRPr="00BF7F1A">
        <w:rPr>
          <w:i/>
        </w:rPr>
        <w:t xml:space="preserve"> Romani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t>Apuleius</w:t>
      </w:r>
      <w:proofErr w:type="spellEnd"/>
      <w:r w:rsidRPr="00BF7F1A">
        <w:t xml:space="preserve">: </w:t>
      </w:r>
      <w:r w:rsidRPr="00BF7F1A">
        <w:rPr>
          <w:i/>
        </w:rPr>
        <w:t xml:space="preserve">De </w:t>
      </w:r>
      <w:proofErr w:type="spellStart"/>
      <w:r w:rsidRPr="00BF7F1A">
        <w:rPr>
          <w:i/>
        </w:rPr>
        <w:t>deo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Socratis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iunones</w:t>
      </w:r>
      <w:proofErr w:type="spellEnd"/>
    </w:p>
    <w:p w:rsidR="00BF7F1A" w:rsidRDefault="00BF7F1A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 xml:space="preserve">Saturnus, </w:t>
      </w:r>
      <w:proofErr w:type="spellStart"/>
      <w:r w:rsidRPr="00BF7F1A">
        <w:rPr>
          <w:sz w:val="24"/>
          <w:szCs w:val="24"/>
        </w:rPr>
        <w:t>Ops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rPr>
          <w:i/>
        </w:rPr>
        <w:t>Sterculius</w:t>
      </w:r>
      <w:proofErr w:type="spellEnd"/>
      <w:r w:rsidRPr="00BF7F1A">
        <w:t xml:space="preserve"> (</w:t>
      </w:r>
      <w:proofErr w:type="spellStart"/>
      <w:r w:rsidRPr="00BF7F1A">
        <w:rPr>
          <w:i/>
        </w:rPr>
        <w:t>stercus</w:t>
      </w:r>
      <w:proofErr w:type="spellEnd"/>
      <w:r w:rsidRPr="00BF7F1A">
        <w:t xml:space="preserve"> – mrva)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r w:rsidRPr="00BF7F1A">
        <w:t xml:space="preserve">Kapitol – </w:t>
      </w:r>
      <w:proofErr w:type="spellStart"/>
      <w:r w:rsidRPr="00BF7F1A">
        <w:rPr>
          <w:i/>
        </w:rPr>
        <w:t>mons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Saturnius</w:t>
      </w:r>
      <w:proofErr w:type="spellEnd"/>
      <w:r w:rsidRPr="00BF7F1A">
        <w:t xml:space="preserve"> – </w:t>
      </w:r>
      <w:proofErr w:type="spellStart"/>
      <w:r w:rsidRPr="00BF7F1A">
        <w:rPr>
          <w:i/>
        </w:rPr>
        <w:t>aerarium</w:t>
      </w:r>
      <w:proofErr w:type="spellEnd"/>
      <w:r w:rsidRPr="00BF7F1A">
        <w:t xml:space="preserve">; </w:t>
      </w:r>
      <w:proofErr w:type="spellStart"/>
      <w:r w:rsidRPr="00BF7F1A">
        <w:rPr>
          <w:i/>
        </w:rPr>
        <w:t>aetas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aurea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r w:rsidRPr="00BF7F1A">
        <w:t xml:space="preserve">17. </w:t>
      </w:r>
      <w:proofErr w:type="gramStart"/>
      <w:r w:rsidRPr="00BF7F1A">
        <w:t>12.–19</w:t>
      </w:r>
      <w:proofErr w:type="gramEnd"/>
      <w:r w:rsidRPr="00BF7F1A">
        <w:t xml:space="preserve">. 12. </w:t>
      </w:r>
      <w:proofErr w:type="spellStart"/>
      <w:r w:rsidRPr="00BF7F1A">
        <w:rPr>
          <w:i/>
        </w:rPr>
        <w:t>Saturnalia</w:t>
      </w:r>
      <w:proofErr w:type="spellEnd"/>
    </w:p>
    <w:p w:rsidR="00BF7F1A" w:rsidRDefault="00BF7F1A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proofErr w:type="spellStart"/>
      <w:r w:rsidRPr="00BF7F1A">
        <w:rPr>
          <w:sz w:val="24"/>
          <w:szCs w:val="24"/>
        </w:rPr>
        <w:t>Vertumnus</w:t>
      </w:r>
      <w:proofErr w:type="spellEnd"/>
      <w:r w:rsidRPr="00BF7F1A">
        <w:rPr>
          <w:sz w:val="24"/>
          <w:szCs w:val="24"/>
        </w:rPr>
        <w:t xml:space="preserve">, </w:t>
      </w:r>
      <w:proofErr w:type="spellStart"/>
      <w:r w:rsidRPr="00BF7F1A">
        <w:rPr>
          <w:sz w:val="24"/>
          <w:szCs w:val="24"/>
        </w:rPr>
        <w:t>Pomona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vertere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r w:rsidRPr="00BF7F1A">
        <w:t>Próteus</w:t>
      </w:r>
    </w:p>
    <w:p w:rsidR="00BF7F1A" w:rsidRDefault="00BF7F1A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>Flora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Sabinové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rPr>
          <w:i/>
        </w:rPr>
        <w:t>Floralia</w:t>
      </w:r>
      <w:proofErr w:type="spellEnd"/>
    </w:p>
    <w:p w:rsidR="00BF7F1A" w:rsidRDefault="00BF7F1A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 xml:space="preserve">Bona </w:t>
      </w:r>
      <w:proofErr w:type="spellStart"/>
      <w:r w:rsidRPr="00BF7F1A">
        <w:rPr>
          <w:sz w:val="24"/>
          <w:szCs w:val="24"/>
        </w:rPr>
        <w:t>Dea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r w:rsidRPr="00BF7F1A">
        <w:t>Faunus, Fauna</w:t>
      </w:r>
    </w:p>
    <w:p w:rsidR="00BF7F1A" w:rsidRDefault="00BF7F1A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>Terminus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rPr>
          <w:i/>
        </w:rPr>
        <w:t>Terminalia</w:t>
      </w:r>
      <w:proofErr w:type="spellEnd"/>
      <w:r w:rsidRPr="00BF7F1A">
        <w:t xml:space="preserve"> 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rPr>
          <w:i/>
        </w:rPr>
        <w:t>templum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Iovis</w:t>
      </w:r>
      <w:proofErr w:type="spellEnd"/>
      <w:r w:rsidRPr="00BF7F1A">
        <w:t xml:space="preserve"> na Kapitolu</w:t>
      </w:r>
    </w:p>
    <w:p w:rsidR="00BF7F1A" w:rsidRDefault="00BF7F1A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proofErr w:type="spellStart"/>
      <w:r w:rsidRPr="00BF7F1A">
        <w:rPr>
          <w:sz w:val="24"/>
          <w:szCs w:val="24"/>
        </w:rPr>
        <w:t>Pales</w:t>
      </w:r>
      <w:proofErr w:type="spellEnd"/>
      <w:r w:rsidRPr="00BF7F1A">
        <w:rPr>
          <w:sz w:val="24"/>
          <w:szCs w:val="24"/>
        </w:rPr>
        <w:t xml:space="preserve">, </w:t>
      </w:r>
      <w:proofErr w:type="spellStart"/>
      <w:r w:rsidRPr="00BF7F1A">
        <w:rPr>
          <w:sz w:val="24"/>
          <w:szCs w:val="24"/>
        </w:rPr>
        <w:t>Pares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r w:rsidRPr="00BF7F1A">
        <w:t>Palatin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Palilia</w:t>
      </w:r>
      <w:proofErr w:type="spellEnd"/>
      <w:r w:rsidRPr="00BF7F1A">
        <w:rPr>
          <w:i/>
        </w:rPr>
        <w:t xml:space="preserve">, </w:t>
      </w:r>
      <w:proofErr w:type="spellStart"/>
      <w:r w:rsidRPr="00BF7F1A">
        <w:rPr>
          <w:i/>
        </w:rPr>
        <w:t>Parilia</w:t>
      </w:r>
      <w:proofErr w:type="spellEnd"/>
    </w:p>
    <w:p w:rsidR="00BF7F1A" w:rsidRDefault="00BF7F1A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proofErr w:type="spellStart"/>
      <w:r w:rsidRPr="00BF7F1A">
        <w:rPr>
          <w:sz w:val="24"/>
          <w:szCs w:val="24"/>
        </w:rPr>
        <w:t>Héróové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archégetés</w:t>
      </w:r>
      <w:proofErr w:type="spellEnd"/>
      <w:r w:rsidRPr="00BF7F1A">
        <w:t xml:space="preserve">, </w:t>
      </w:r>
      <w:proofErr w:type="spellStart"/>
      <w:r w:rsidRPr="00BF7F1A">
        <w:t>ktistés</w:t>
      </w:r>
      <w:proofErr w:type="spellEnd"/>
      <w:r w:rsidRPr="00BF7F1A">
        <w:t>, eponymos</w:t>
      </w:r>
    </w:p>
    <w:p w:rsidR="00D92B27" w:rsidRPr="00BF7F1A" w:rsidRDefault="00D92B27" w:rsidP="00D92B27">
      <w:pPr>
        <w:spacing w:line="360" w:lineRule="auto"/>
        <w:rPr>
          <w:i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>Pověsti korintské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Sísyfos</w:t>
      </w:r>
      <w:proofErr w:type="spellEnd"/>
      <w:r w:rsidRPr="00BF7F1A">
        <w:t xml:space="preserve"> (</w:t>
      </w:r>
      <w:proofErr w:type="spellStart"/>
      <w:r w:rsidRPr="00BF7F1A">
        <w:t>Aiolův</w:t>
      </w:r>
      <w:proofErr w:type="spellEnd"/>
      <w:r w:rsidRPr="00BF7F1A">
        <w:t xml:space="preserve"> syn) – </w:t>
      </w:r>
      <w:proofErr w:type="spellStart"/>
      <w:r w:rsidRPr="00BF7F1A">
        <w:rPr>
          <w:i/>
        </w:rPr>
        <w:t>sofos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Glaukos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Bellerofontés</w:t>
      </w:r>
      <w:proofErr w:type="spellEnd"/>
      <w:r w:rsidRPr="00BF7F1A">
        <w:t xml:space="preserve"> (</w:t>
      </w:r>
      <w:proofErr w:type="spellStart"/>
      <w:r w:rsidRPr="00BF7F1A">
        <w:t>Belleros</w:t>
      </w:r>
      <w:proofErr w:type="spellEnd"/>
      <w:r w:rsidRPr="00BF7F1A">
        <w:t xml:space="preserve">); </w:t>
      </w:r>
      <w:proofErr w:type="spellStart"/>
      <w:r w:rsidRPr="00BF7F1A">
        <w:t>Proitos</w:t>
      </w:r>
      <w:proofErr w:type="spellEnd"/>
      <w:r w:rsidRPr="00BF7F1A">
        <w:t xml:space="preserve"> v </w:t>
      </w:r>
      <w:proofErr w:type="spellStart"/>
      <w:r w:rsidRPr="00BF7F1A">
        <w:t>Tírynthu</w:t>
      </w:r>
      <w:proofErr w:type="spellEnd"/>
      <w:r w:rsidRPr="00BF7F1A">
        <w:t xml:space="preserve">; </w:t>
      </w:r>
      <w:proofErr w:type="spellStart"/>
      <w:r w:rsidRPr="00BF7F1A">
        <w:t>Anteia</w:t>
      </w:r>
      <w:proofErr w:type="spellEnd"/>
      <w:r w:rsidRPr="00BF7F1A">
        <w:t>/</w:t>
      </w:r>
      <w:proofErr w:type="spellStart"/>
      <w:r w:rsidRPr="00BF7F1A">
        <w:t>Stheneboia</w:t>
      </w:r>
      <w:proofErr w:type="spellEnd"/>
      <w:r w:rsidRPr="00BF7F1A">
        <w:t xml:space="preserve">; </w:t>
      </w:r>
      <w:proofErr w:type="spellStart"/>
      <w:r w:rsidRPr="00BF7F1A">
        <w:t>Iobatés</w:t>
      </w:r>
      <w:proofErr w:type="spellEnd"/>
      <w:r w:rsidRPr="00BF7F1A">
        <w:t xml:space="preserve"> v </w:t>
      </w:r>
      <w:proofErr w:type="spellStart"/>
      <w:r w:rsidRPr="00BF7F1A">
        <w:t>Lykii</w:t>
      </w:r>
      <w:proofErr w:type="spellEnd"/>
      <w:r w:rsidRPr="00BF7F1A">
        <w:t xml:space="preserve">; </w:t>
      </w:r>
      <w:proofErr w:type="spellStart"/>
      <w:r w:rsidRPr="00BF7F1A">
        <w:t>Chimaira</w:t>
      </w:r>
      <w:proofErr w:type="spellEnd"/>
      <w:r w:rsidRPr="00BF7F1A">
        <w:t xml:space="preserve">; </w:t>
      </w:r>
      <w:proofErr w:type="spellStart"/>
      <w:r w:rsidRPr="00BF7F1A">
        <w:t>Pégasos</w:t>
      </w:r>
      <w:proofErr w:type="spellEnd"/>
      <w:r w:rsidRPr="00BF7F1A">
        <w:t xml:space="preserve"> (</w:t>
      </w:r>
      <w:proofErr w:type="spellStart"/>
      <w:r w:rsidRPr="00BF7F1A">
        <w:t>Poseidón</w:t>
      </w:r>
      <w:proofErr w:type="spellEnd"/>
      <w:r w:rsidRPr="00BF7F1A">
        <w:t xml:space="preserve"> + </w:t>
      </w:r>
      <w:proofErr w:type="spellStart"/>
      <w:r w:rsidRPr="00BF7F1A">
        <w:t>Medúsa</w:t>
      </w:r>
      <w:proofErr w:type="spellEnd"/>
      <w:r w:rsidRPr="00BF7F1A">
        <w:t xml:space="preserve">); </w:t>
      </w:r>
      <w:proofErr w:type="spellStart"/>
      <w:r w:rsidRPr="00BF7F1A">
        <w:t>Solymové</w:t>
      </w:r>
      <w:proofErr w:type="spellEnd"/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bookmarkStart w:id="0" w:name="_GoBack"/>
      <w:bookmarkEnd w:id="0"/>
      <w:r w:rsidRPr="00BF7F1A">
        <w:rPr>
          <w:sz w:val="24"/>
          <w:szCs w:val="24"/>
        </w:rPr>
        <w:t xml:space="preserve">Pověsti </w:t>
      </w:r>
      <w:proofErr w:type="spellStart"/>
      <w:r w:rsidRPr="00BF7F1A">
        <w:rPr>
          <w:sz w:val="24"/>
          <w:szCs w:val="24"/>
        </w:rPr>
        <w:t>argejské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Ínachos</w:t>
      </w:r>
      <w:proofErr w:type="spellEnd"/>
      <w:r w:rsidRPr="00BF7F1A">
        <w:t xml:space="preserve"> (</w:t>
      </w:r>
      <w:proofErr w:type="spellStart"/>
      <w:r w:rsidRPr="00BF7F1A">
        <w:t>Ókeanos</w:t>
      </w:r>
      <w:proofErr w:type="spellEnd"/>
      <w:r w:rsidRPr="00BF7F1A">
        <w:t xml:space="preserve"> + </w:t>
      </w:r>
      <w:proofErr w:type="spellStart"/>
      <w:r w:rsidRPr="00BF7F1A">
        <w:t>Téthys</w:t>
      </w:r>
      <w:proofErr w:type="spellEnd"/>
      <w:r w:rsidRPr="00BF7F1A">
        <w:t xml:space="preserve">); Héra vs. </w:t>
      </w:r>
      <w:proofErr w:type="spellStart"/>
      <w:r w:rsidRPr="00BF7F1A">
        <w:t>Poseidón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Íó</w:t>
      </w:r>
      <w:proofErr w:type="spellEnd"/>
      <w:r w:rsidRPr="00BF7F1A">
        <w:t xml:space="preserve">; </w:t>
      </w:r>
      <w:proofErr w:type="spellStart"/>
      <w:r w:rsidRPr="00BF7F1A">
        <w:t>Argos</w:t>
      </w:r>
      <w:proofErr w:type="spellEnd"/>
      <w:r w:rsidRPr="00BF7F1A">
        <w:t xml:space="preserve"> </w:t>
      </w:r>
      <w:proofErr w:type="spellStart"/>
      <w:r w:rsidRPr="00BF7F1A">
        <w:t>Panoptés</w:t>
      </w:r>
      <w:proofErr w:type="spellEnd"/>
      <w:r w:rsidRPr="00BF7F1A">
        <w:t xml:space="preserve">; </w:t>
      </w:r>
      <w:proofErr w:type="spellStart"/>
      <w:r w:rsidRPr="00BF7F1A">
        <w:t>Hermés</w:t>
      </w:r>
      <w:proofErr w:type="spellEnd"/>
      <w:r w:rsidRPr="00BF7F1A">
        <w:t xml:space="preserve"> </w:t>
      </w:r>
      <w:proofErr w:type="spellStart"/>
      <w:r w:rsidRPr="00BF7F1A">
        <w:t>Argeifontés</w:t>
      </w:r>
      <w:proofErr w:type="spellEnd"/>
      <w:r w:rsidRPr="00BF7F1A">
        <w:t xml:space="preserve">; </w:t>
      </w:r>
      <w:proofErr w:type="spellStart"/>
      <w:r w:rsidRPr="00BF7F1A">
        <w:t>Bosporos</w:t>
      </w:r>
      <w:proofErr w:type="spellEnd"/>
      <w:r w:rsidRPr="00BF7F1A">
        <w:t xml:space="preserve">; </w:t>
      </w:r>
      <w:proofErr w:type="spellStart"/>
      <w:r w:rsidRPr="00BF7F1A">
        <w:t>Ionské</w:t>
      </w:r>
      <w:proofErr w:type="spellEnd"/>
      <w:r w:rsidRPr="00BF7F1A">
        <w:t xml:space="preserve"> moře; Egypt; </w:t>
      </w:r>
      <w:proofErr w:type="spellStart"/>
      <w:r w:rsidRPr="00BF7F1A">
        <w:t>Epafos</w:t>
      </w:r>
      <w:proofErr w:type="spellEnd"/>
      <w:r w:rsidRPr="00BF7F1A">
        <w:t xml:space="preserve">; Memfis; Démétér = </w:t>
      </w:r>
      <w:proofErr w:type="spellStart"/>
      <w:r w:rsidRPr="00BF7F1A">
        <w:t>Ísis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lastRenderedPageBreak/>
        <w:t>Epafos</w:t>
      </w:r>
      <w:proofErr w:type="spellEnd"/>
      <w:r w:rsidRPr="00BF7F1A">
        <w:t xml:space="preserve"> – Libye (s </w:t>
      </w:r>
      <w:proofErr w:type="spellStart"/>
      <w:r w:rsidRPr="00BF7F1A">
        <w:t>Poseidónem</w:t>
      </w:r>
      <w:proofErr w:type="spellEnd"/>
      <w:r w:rsidRPr="00BF7F1A">
        <w:t xml:space="preserve">) – </w:t>
      </w:r>
      <w:proofErr w:type="spellStart"/>
      <w:r w:rsidRPr="00BF7F1A">
        <w:t>Agenór</w:t>
      </w:r>
      <w:proofErr w:type="spellEnd"/>
      <w:r w:rsidRPr="00BF7F1A">
        <w:t xml:space="preserve"> (Fénicie), </w:t>
      </w:r>
      <w:proofErr w:type="spellStart"/>
      <w:r w:rsidRPr="00BF7F1A">
        <w:t>Belos</w:t>
      </w:r>
      <w:proofErr w:type="spellEnd"/>
      <w:r w:rsidRPr="00BF7F1A">
        <w:t xml:space="preserve"> (s </w:t>
      </w:r>
      <w:proofErr w:type="spellStart"/>
      <w:r w:rsidRPr="00BF7F1A">
        <w:t>Anchirroou</w:t>
      </w:r>
      <w:proofErr w:type="spellEnd"/>
      <w:r w:rsidRPr="00BF7F1A">
        <w:t xml:space="preserve">) – </w:t>
      </w:r>
      <w:proofErr w:type="spellStart"/>
      <w:r w:rsidRPr="00BF7F1A">
        <w:t>Aigyptos</w:t>
      </w:r>
      <w:proofErr w:type="spellEnd"/>
      <w:r w:rsidRPr="00BF7F1A">
        <w:t xml:space="preserve"> a </w:t>
      </w:r>
      <w:proofErr w:type="spellStart"/>
      <w:r w:rsidRPr="00BF7F1A">
        <w:t>Danaos</w:t>
      </w:r>
      <w:proofErr w:type="spellEnd"/>
      <w:r w:rsidRPr="00BF7F1A">
        <w:t xml:space="preserve"> (do Argu) – </w:t>
      </w:r>
      <w:proofErr w:type="spellStart"/>
      <w:r w:rsidRPr="00BF7F1A">
        <w:t>Amýmoné</w:t>
      </w:r>
      <w:proofErr w:type="spellEnd"/>
      <w:r w:rsidRPr="00BF7F1A">
        <w:t xml:space="preserve">, </w:t>
      </w:r>
      <w:proofErr w:type="spellStart"/>
      <w:r w:rsidRPr="00BF7F1A">
        <w:t>Hyperméstra</w:t>
      </w:r>
      <w:proofErr w:type="spellEnd"/>
      <w:r w:rsidRPr="00BF7F1A">
        <w:t xml:space="preserve"> (s </w:t>
      </w:r>
      <w:proofErr w:type="spellStart"/>
      <w:r w:rsidRPr="00BF7F1A">
        <w:t>Lynkeem</w:t>
      </w:r>
      <w:proofErr w:type="spellEnd"/>
      <w:r w:rsidRPr="00BF7F1A">
        <w:t>) /</w:t>
      </w:r>
      <w:proofErr w:type="spellStart"/>
      <w:r w:rsidRPr="00BF7F1A">
        <w:t>Aischylos</w:t>
      </w:r>
      <w:proofErr w:type="spellEnd"/>
      <w:r w:rsidRPr="00BF7F1A">
        <w:t xml:space="preserve"> </w:t>
      </w:r>
      <w:r w:rsidRPr="00BF7F1A">
        <w:rPr>
          <w:i/>
        </w:rPr>
        <w:t>Prosebnice/</w:t>
      </w:r>
      <w:r w:rsidRPr="00BF7F1A">
        <w:t xml:space="preserve"> – </w:t>
      </w:r>
      <w:proofErr w:type="spellStart"/>
      <w:proofErr w:type="gramStart"/>
      <w:r w:rsidRPr="00BF7F1A">
        <w:t>Abás</w:t>
      </w:r>
      <w:proofErr w:type="spellEnd"/>
      <w:proofErr w:type="gramEnd"/>
      <w:r w:rsidRPr="00BF7F1A">
        <w:t xml:space="preserve"> –</w:t>
      </w:r>
      <w:proofErr w:type="spellStart"/>
      <w:proofErr w:type="gramStart"/>
      <w:r w:rsidRPr="00BF7F1A">
        <w:t>Akrisios</w:t>
      </w:r>
      <w:proofErr w:type="spellEnd"/>
      <w:proofErr w:type="gramEnd"/>
      <w:r w:rsidRPr="00BF7F1A">
        <w:t xml:space="preserve"> a </w:t>
      </w:r>
      <w:proofErr w:type="spellStart"/>
      <w:r w:rsidRPr="00BF7F1A">
        <w:t>Proitos</w:t>
      </w:r>
      <w:proofErr w:type="spellEnd"/>
      <w:r w:rsidRPr="00BF7F1A">
        <w:t xml:space="preserve"> (</w:t>
      </w:r>
      <w:proofErr w:type="spellStart"/>
      <w:r w:rsidRPr="00BF7F1A">
        <w:t>Tíryns</w:t>
      </w:r>
      <w:proofErr w:type="spellEnd"/>
      <w:r w:rsidRPr="00BF7F1A">
        <w:t xml:space="preserve">, do </w:t>
      </w:r>
      <w:proofErr w:type="spellStart"/>
      <w:r w:rsidRPr="00BF7F1A">
        <w:t>Lykie</w:t>
      </w:r>
      <w:proofErr w:type="spellEnd"/>
      <w:r w:rsidRPr="00BF7F1A">
        <w:t xml:space="preserve"> k </w:t>
      </w:r>
      <w:proofErr w:type="spellStart"/>
      <w:r w:rsidRPr="00BF7F1A">
        <w:t>Iobatovi</w:t>
      </w:r>
      <w:proofErr w:type="spellEnd"/>
      <w:r w:rsidRPr="00BF7F1A">
        <w:t xml:space="preserve">; </w:t>
      </w:r>
      <w:proofErr w:type="spellStart"/>
      <w:r w:rsidRPr="00BF7F1A">
        <w:t>Anteia</w:t>
      </w:r>
      <w:proofErr w:type="spellEnd"/>
      <w:r w:rsidRPr="00BF7F1A">
        <w:t>/</w:t>
      </w:r>
      <w:proofErr w:type="spellStart"/>
      <w:r w:rsidRPr="00BF7F1A">
        <w:t>Stheneboia</w:t>
      </w:r>
      <w:proofErr w:type="spellEnd"/>
      <w:r w:rsidRPr="00BF7F1A">
        <w:t>)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r w:rsidRPr="00BF7F1A">
        <w:t>v </w:t>
      </w:r>
      <w:proofErr w:type="spellStart"/>
      <w:r w:rsidRPr="00BF7F1A">
        <w:t>Tíryntu</w:t>
      </w:r>
      <w:proofErr w:type="spellEnd"/>
      <w:r w:rsidRPr="00BF7F1A">
        <w:t xml:space="preserve"> </w:t>
      </w:r>
      <w:proofErr w:type="spellStart"/>
      <w:r w:rsidRPr="00BF7F1A">
        <w:t>Kyklópové</w:t>
      </w:r>
      <w:proofErr w:type="spellEnd"/>
      <w:r w:rsidRPr="00BF7F1A">
        <w:t xml:space="preserve">; </w:t>
      </w:r>
      <w:proofErr w:type="spellStart"/>
      <w:r w:rsidRPr="00BF7F1A">
        <w:t>Proitovy</w:t>
      </w:r>
      <w:proofErr w:type="spellEnd"/>
      <w:r w:rsidRPr="00BF7F1A">
        <w:t xml:space="preserve"> dcery; </w:t>
      </w:r>
      <w:proofErr w:type="spellStart"/>
      <w:r w:rsidRPr="00BF7F1A">
        <w:t>Melampús</w:t>
      </w:r>
      <w:proofErr w:type="spellEnd"/>
      <w:r w:rsidRPr="00BF7F1A">
        <w:t xml:space="preserve"> + </w:t>
      </w:r>
      <w:proofErr w:type="spellStart"/>
      <w:r w:rsidRPr="00BF7F1A">
        <w:t>Ífianassa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Akrisiova</w:t>
      </w:r>
      <w:proofErr w:type="spellEnd"/>
      <w:r w:rsidRPr="00BF7F1A">
        <w:t xml:space="preserve"> dcera Danaé (s Diem) – Perseus</w:t>
      </w:r>
      <w:r w:rsidRPr="00BF7F1A">
        <w:t xml:space="preserve">; </w:t>
      </w:r>
      <w:proofErr w:type="spellStart"/>
      <w:r w:rsidRPr="00BF7F1A">
        <w:t>Serífos</w:t>
      </w:r>
      <w:proofErr w:type="spellEnd"/>
      <w:r w:rsidRPr="00BF7F1A">
        <w:t xml:space="preserve">; </w:t>
      </w:r>
      <w:proofErr w:type="spellStart"/>
      <w:r w:rsidRPr="00BF7F1A">
        <w:t>Diktys</w:t>
      </w:r>
      <w:proofErr w:type="spellEnd"/>
      <w:r w:rsidRPr="00BF7F1A">
        <w:t xml:space="preserve"> a </w:t>
      </w:r>
      <w:proofErr w:type="spellStart"/>
      <w:r w:rsidRPr="00BF7F1A">
        <w:t>Polydektés</w:t>
      </w:r>
      <w:proofErr w:type="spellEnd"/>
      <w:r w:rsidRPr="00BF7F1A">
        <w:t>;</w:t>
      </w:r>
    </w:p>
    <w:p w:rsidR="00112BFA" w:rsidRPr="00BF7F1A" w:rsidRDefault="00112BFA"/>
    <w:sectPr w:rsidR="00112BFA" w:rsidRPr="00BF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7646"/>
    <w:multiLevelType w:val="hybridMultilevel"/>
    <w:tmpl w:val="38AC7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27"/>
    <w:rsid w:val="00112BFA"/>
    <w:rsid w:val="00BF7F1A"/>
    <w:rsid w:val="00D9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92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2B27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92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2B27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1063</Characters>
  <Application>Microsoft Office Word</Application>
  <DocSecurity>0</DocSecurity>
  <Lines>17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Radová</dc:creator>
  <cp:lastModifiedBy>Irena Radová</cp:lastModifiedBy>
  <cp:revision>2</cp:revision>
  <dcterms:created xsi:type="dcterms:W3CDTF">2013-04-11T12:17:00Z</dcterms:created>
  <dcterms:modified xsi:type="dcterms:W3CDTF">2013-04-11T12:18:00Z</dcterms:modified>
</cp:coreProperties>
</file>