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5070"/>
        <w:gridCol w:w="2835"/>
        <w:gridCol w:w="1307"/>
      </w:tblGrid>
      <w:tr w:rsidR="008307F8" w:rsidRPr="00F453F3" w:rsidTr="002C68AA">
        <w:tc>
          <w:tcPr>
            <w:tcW w:w="5070" w:type="dxa"/>
            <w:shd w:val="clear" w:color="auto" w:fill="BFBFBF" w:themeFill="background1" w:themeFillShade="BF"/>
          </w:tcPr>
          <w:p w:rsidR="008307F8" w:rsidRPr="00F453F3" w:rsidRDefault="008307F8" w:rsidP="002C68AA">
            <w:pPr>
              <w:jc w:val="center"/>
              <w:rPr>
                <w:b/>
              </w:rPr>
            </w:pPr>
            <w:r w:rsidRPr="00F453F3">
              <w:rPr>
                <w:b/>
              </w:rPr>
              <w:t>téma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07F8" w:rsidRPr="00F453F3" w:rsidRDefault="008307F8" w:rsidP="002C68AA">
            <w:pPr>
              <w:jc w:val="center"/>
              <w:rPr>
                <w:b/>
              </w:rPr>
            </w:pPr>
            <w:r w:rsidRPr="00F453F3">
              <w:rPr>
                <w:b/>
              </w:rPr>
              <w:t>jméno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8307F8" w:rsidRPr="00F453F3" w:rsidRDefault="008307F8" w:rsidP="002C68AA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proofErr w:type="spellStart"/>
            <w:r w:rsidRPr="00F453F3">
              <w:t>verbos</w:t>
            </w:r>
            <w:proofErr w:type="spellEnd"/>
            <w:r w:rsidRPr="00F453F3">
              <w:t xml:space="preserve"> SER, ESTAR y HABER </w:t>
            </w:r>
            <w:proofErr w:type="spellStart"/>
            <w:r w:rsidRPr="00F453F3">
              <w:t>en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comparación</w:t>
            </w:r>
            <w:proofErr w:type="spellEnd"/>
            <w:r w:rsidRPr="00F453F3">
              <w:t xml:space="preserve"> </w:t>
            </w:r>
          </w:p>
        </w:tc>
        <w:tc>
          <w:tcPr>
            <w:tcW w:w="2835" w:type="dxa"/>
            <w:vAlign w:val="center"/>
          </w:tcPr>
          <w:p w:rsidR="008307F8" w:rsidRDefault="008307F8" w:rsidP="002C68AA">
            <w:r>
              <w:t>Natálie Lorencová</w:t>
            </w:r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4.3.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r w:rsidRPr="00F453F3">
              <w:t xml:space="preserve">las </w:t>
            </w:r>
            <w:proofErr w:type="spellStart"/>
            <w:r w:rsidRPr="00F453F3">
              <w:t>irregularidades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en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uso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del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artículos</w:t>
            </w:r>
            <w:proofErr w:type="spellEnd"/>
          </w:p>
        </w:tc>
        <w:tc>
          <w:tcPr>
            <w:tcW w:w="2835" w:type="dxa"/>
            <w:vAlign w:val="center"/>
          </w:tcPr>
          <w:p w:rsidR="008307F8" w:rsidRDefault="008307F8" w:rsidP="002C68AA">
            <w:r>
              <w:t>Iveta Dohnalová</w:t>
            </w:r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11.3.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acento</w:t>
            </w:r>
            <w:proofErr w:type="spellEnd"/>
            <w:r w:rsidRPr="00F453F3">
              <w:t xml:space="preserve"> </w:t>
            </w:r>
          </w:p>
        </w:tc>
        <w:tc>
          <w:tcPr>
            <w:tcW w:w="2835" w:type="dxa"/>
            <w:vAlign w:val="center"/>
          </w:tcPr>
          <w:p w:rsidR="008307F8" w:rsidRDefault="008307F8" w:rsidP="002C68AA">
            <w:r>
              <w:t>Lucie Skopalová</w:t>
            </w:r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18.3.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infinitivo</w:t>
            </w:r>
            <w:proofErr w:type="spellEnd"/>
            <w:r w:rsidRPr="00F453F3">
              <w:t xml:space="preserve"> </w:t>
            </w:r>
          </w:p>
        </w:tc>
        <w:tc>
          <w:tcPr>
            <w:tcW w:w="2835" w:type="dxa"/>
            <w:vAlign w:val="center"/>
          </w:tcPr>
          <w:p w:rsidR="008307F8" w:rsidRDefault="008307F8" w:rsidP="002C68AA">
            <w:r>
              <w:t>Petra Skácelová</w:t>
            </w:r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25.3.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r w:rsidRPr="00F453F3">
              <w:t>la voz pasiva</w:t>
            </w:r>
          </w:p>
        </w:tc>
        <w:tc>
          <w:tcPr>
            <w:tcW w:w="2835" w:type="dxa"/>
            <w:vAlign w:val="center"/>
          </w:tcPr>
          <w:p w:rsidR="008307F8" w:rsidRDefault="008307F8" w:rsidP="002C68AA"/>
        </w:tc>
        <w:tc>
          <w:tcPr>
            <w:tcW w:w="1307" w:type="dxa"/>
            <w:vAlign w:val="center"/>
          </w:tcPr>
          <w:p w:rsidR="008307F8" w:rsidRDefault="008307F8" w:rsidP="002C68AA">
            <w:r>
              <w:t>25.3.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imperativo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positivo</w:t>
            </w:r>
            <w:proofErr w:type="spellEnd"/>
            <w:r w:rsidRPr="00F453F3">
              <w:t xml:space="preserve"> y </w:t>
            </w:r>
            <w:proofErr w:type="spellStart"/>
            <w:r w:rsidRPr="00F453F3">
              <w:t>negativo</w:t>
            </w:r>
            <w:proofErr w:type="spellEnd"/>
          </w:p>
        </w:tc>
        <w:tc>
          <w:tcPr>
            <w:tcW w:w="2835" w:type="dxa"/>
            <w:vAlign w:val="center"/>
          </w:tcPr>
          <w:p w:rsidR="008307F8" w:rsidRDefault="008307F8" w:rsidP="002C68AA">
            <w:r>
              <w:t xml:space="preserve">Eva </w:t>
            </w:r>
            <w:proofErr w:type="spellStart"/>
            <w:r>
              <w:t>Macháčová</w:t>
            </w:r>
            <w:proofErr w:type="spellEnd"/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1.4.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r w:rsidRPr="00F453F3">
              <w:t xml:space="preserve">las </w:t>
            </w:r>
            <w:proofErr w:type="spellStart"/>
            <w:r w:rsidRPr="00F453F3">
              <w:t>oraciones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condicionales</w:t>
            </w:r>
            <w:proofErr w:type="spellEnd"/>
            <w:r w:rsidRPr="00F453F3">
              <w:t xml:space="preserve"> </w:t>
            </w:r>
            <w:proofErr w:type="spellStart"/>
            <w:r>
              <w:t>reales</w:t>
            </w:r>
            <w:proofErr w:type="spellEnd"/>
          </w:p>
        </w:tc>
        <w:tc>
          <w:tcPr>
            <w:tcW w:w="2835" w:type="dxa"/>
            <w:vAlign w:val="center"/>
          </w:tcPr>
          <w:p w:rsidR="008307F8" w:rsidRDefault="008307F8" w:rsidP="002C68AA"/>
        </w:tc>
        <w:tc>
          <w:tcPr>
            <w:tcW w:w="1307" w:type="dxa"/>
            <w:vAlign w:val="center"/>
          </w:tcPr>
          <w:p w:rsidR="008307F8" w:rsidRDefault="008307F8" w:rsidP="002C68AA">
            <w:r>
              <w:t>8.4.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r w:rsidRPr="00F453F3">
              <w:t xml:space="preserve">las </w:t>
            </w:r>
            <w:proofErr w:type="spellStart"/>
            <w:r w:rsidRPr="00F453F3">
              <w:t>oraciones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condicionales</w:t>
            </w:r>
            <w:proofErr w:type="spellEnd"/>
            <w:r w:rsidRPr="00F453F3">
              <w:t xml:space="preserve"> </w:t>
            </w:r>
            <w:proofErr w:type="spellStart"/>
            <w:r>
              <w:t>irreales</w:t>
            </w:r>
            <w:proofErr w:type="spellEnd"/>
          </w:p>
        </w:tc>
        <w:tc>
          <w:tcPr>
            <w:tcW w:w="2835" w:type="dxa"/>
            <w:vAlign w:val="center"/>
          </w:tcPr>
          <w:p w:rsidR="008307F8" w:rsidRDefault="008307F8" w:rsidP="002C68AA"/>
        </w:tc>
        <w:tc>
          <w:tcPr>
            <w:tcW w:w="1307" w:type="dxa"/>
            <w:vAlign w:val="center"/>
          </w:tcPr>
          <w:p w:rsidR="008307F8" w:rsidRDefault="008307F8" w:rsidP="002C68AA">
            <w:r>
              <w:t>8.4.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r w:rsidRPr="00F453F3">
              <w:t xml:space="preserve">la </w:t>
            </w:r>
            <w:proofErr w:type="spellStart"/>
            <w:r w:rsidRPr="00F453F3">
              <w:t>concordancia</w:t>
            </w:r>
            <w:proofErr w:type="spellEnd"/>
            <w:r w:rsidRPr="00F453F3">
              <w:t xml:space="preserve"> de </w:t>
            </w:r>
            <w:proofErr w:type="spellStart"/>
            <w:r w:rsidRPr="00F453F3">
              <w:t>tiempos</w:t>
            </w:r>
            <w:proofErr w:type="spellEnd"/>
          </w:p>
        </w:tc>
        <w:tc>
          <w:tcPr>
            <w:tcW w:w="2835" w:type="dxa"/>
            <w:vAlign w:val="center"/>
          </w:tcPr>
          <w:p w:rsidR="008307F8" w:rsidRDefault="008307F8" w:rsidP="002C68AA">
            <w:proofErr w:type="spellStart"/>
            <w:r>
              <w:t>Liudmila</w:t>
            </w:r>
            <w:proofErr w:type="spellEnd"/>
            <w:r>
              <w:t xml:space="preserve"> </w:t>
            </w:r>
            <w:proofErr w:type="spellStart"/>
            <w:r>
              <w:t>Tkachova</w:t>
            </w:r>
            <w:proofErr w:type="spellEnd"/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29.4.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proofErr w:type="spellStart"/>
            <w:r w:rsidRPr="00F453F3">
              <w:t>contraste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entre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pretérito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indefinido</w:t>
            </w:r>
            <w:proofErr w:type="spellEnd"/>
            <w:r w:rsidRPr="00F453F3">
              <w:t xml:space="preserve"> y </w:t>
            </w:r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pretérito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perfecto</w:t>
            </w:r>
            <w:proofErr w:type="spellEnd"/>
          </w:p>
        </w:tc>
        <w:tc>
          <w:tcPr>
            <w:tcW w:w="2835" w:type="dxa"/>
            <w:vAlign w:val="center"/>
          </w:tcPr>
          <w:p w:rsidR="008307F8" w:rsidRDefault="008307F8" w:rsidP="002C68AA">
            <w:r>
              <w:t xml:space="preserve">Kristýna </w:t>
            </w:r>
            <w:proofErr w:type="spellStart"/>
            <w:r>
              <w:t>Hvižďová</w:t>
            </w:r>
            <w:proofErr w:type="spellEnd"/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6.5.</w:t>
            </w:r>
          </w:p>
        </w:tc>
      </w:tr>
      <w:tr w:rsidR="008307F8" w:rsidTr="002C68AA">
        <w:trPr>
          <w:trHeight w:val="608"/>
        </w:trPr>
        <w:tc>
          <w:tcPr>
            <w:tcW w:w="5070" w:type="dxa"/>
            <w:vAlign w:val="center"/>
          </w:tcPr>
          <w:p w:rsidR="008307F8" w:rsidRPr="00F453F3" w:rsidRDefault="008307F8" w:rsidP="002C68AA">
            <w:proofErr w:type="spellStart"/>
            <w:r w:rsidRPr="00F453F3">
              <w:t>contraste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entre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pretérito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indefinido</w:t>
            </w:r>
            <w:proofErr w:type="spellEnd"/>
            <w:r w:rsidRPr="00F453F3">
              <w:t xml:space="preserve"> y </w:t>
            </w:r>
            <w:proofErr w:type="spellStart"/>
            <w:r w:rsidRPr="00F453F3">
              <w:t>el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pretérito</w:t>
            </w:r>
            <w:proofErr w:type="spellEnd"/>
            <w:r w:rsidRPr="00F453F3">
              <w:t xml:space="preserve"> </w:t>
            </w:r>
            <w:proofErr w:type="spellStart"/>
            <w:r w:rsidRPr="00F453F3">
              <w:t>imperfecto</w:t>
            </w:r>
            <w:proofErr w:type="spellEnd"/>
          </w:p>
        </w:tc>
        <w:tc>
          <w:tcPr>
            <w:tcW w:w="2835" w:type="dxa"/>
            <w:vAlign w:val="center"/>
          </w:tcPr>
          <w:p w:rsidR="008307F8" w:rsidRDefault="008307F8" w:rsidP="002C68AA">
            <w:r>
              <w:t>Lucie Bartošová</w:t>
            </w:r>
          </w:p>
        </w:tc>
        <w:tc>
          <w:tcPr>
            <w:tcW w:w="1307" w:type="dxa"/>
            <w:vAlign w:val="center"/>
          </w:tcPr>
          <w:p w:rsidR="008307F8" w:rsidRDefault="008307F8" w:rsidP="002C68AA">
            <w:r>
              <w:t>13.5.</w:t>
            </w:r>
          </w:p>
        </w:tc>
      </w:tr>
    </w:tbl>
    <w:p w:rsidR="00952095" w:rsidRDefault="00952095"/>
    <w:sectPr w:rsidR="00952095" w:rsidSect="009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7F8"/>
    <w:rsid w:val="00006A90"/>
    <w:rsid w:val="000E3CED"/>
    <w:rsid w:val="004F49DE"/>
    <w:rsid w:val="00694EFE"/>
    <w:rsid w:val="008307F8"/>
    <w:rsid w:val="008B0AE2"/>
    <w:rsid w:val="00952095"/>
    <w:rsid w:val="00C4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2014-02-21T16:33:00Z</dcterms:created>
  <dcterms:modified xsi:type="dcterms:W3CDTF">2014-02-21T16:44:00Z</dcterms:modified>
</cp:coreProperties>
</file>