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insideH w:val="single" w:sz="6" w:space="0" w:color="000000"/>
          <w:insideV w:val="single" w:sz="6" w:space="0" w:color="000000"/>
        </w:tblBorders>
        <w:tblLook w:val="01E0"/>
      </w:tblPr>
      <w:tblGrid>
        <w:gridCol w:w="2127"/>
        <w:gridCol w:w="5528"/>
        <w:gridCol w:w="1559"/>
      </w:tblGrid>
      <w:tr w:rsidR="00816120" w:rsidRPr="00816120">
        <w:trPr>
          <w:trHeight w:val="719"/>
        </w:trPr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</w:tcPr>
          <w:p w:rsidR="00816120" w:rsidRPr="00816120" w:rsidRDefault="007858B6" w:rsidP="00816120">
            <w:pPr>
              <w:pStyle w:val="Styl"/>
              <w:spacing w:before="8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0" w:name="1"/>
            <w:r w:rsidRPr="007858B6">
              <w:rPr>
                <w:b/>
                <w:bCs/>
                <w:noProof/>
              </w:rPr>
              <w:pict>
                <v:rect id="_x0000_s1066" style="position:absolute;left:0;text-align:left;margin-left:4.35pt;margin-top:7.4pt;width:12pt;height:12pt;z-index:1" strokecolor="maroon" strokeweight="2.25pt"/>
              </w:pict>
            </w:r>
            <w:r w:rsidR="00816120" w:rsidRPr="0081612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      Ústav</w:t>
            </w:r>
          </w:p>
          <w:p w:rsidR="00816120" w:rsidRPr="00816120" w:rsidRDefault="007858B6" w:rsidP="00816120">
            <w:pPr>
              <w:pStyle w:val="Styl"/>
              <w:spacing w:before="8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858B6">
              <w:rPr>
                <w:b/>
                <w:bCs/>
                <w:noProof/>
              </w:rPr>
              <w:pict>
                <v:rect id="_x0000_s1068" style="position:absolute;left:0;text-align:left;margin-left:16.2pt;margin-top:1.3pt;width:12pt;height:12pt;z-index:3" strokecolor="maroon" strokeweight="4.5pt"/>
              </w:pict>
            </w:r>
            <w:r w:rsidRPr="007858B6">
              <w:rPr>
                <w:b/>
                <w:bCs/>
                <w:noProof/>
              </w:rPr>
              <w:pict>
                <v:rect id="_x0000_s1067" style="position:absolute;left:0;text-align:left;margin-left:4.2pt;margin-top:1.3pt;width:12pt;height:12pt;z-index:2" fillcolor="maroon" strokecolor="maroon"/>
              </w:pict>
            </w:r>
            <w:r w:rsidR="00816120" w:rsidRPr="0081612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            religionistiky  </w:t>
            </w:r>
          </w:p>
        </w:tc>
        <w:tc>
          <w:tcPr>
            <w:tcW w:w="5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120" w:rsidRPr="00816120" w:rsidRDefault="008C7CC1" w:rsidP="00816120">
            <w:pPr>
              <w:pStyle w:val="Styl"/>
              <w:spacing w:before="86" w:line="275" w:lineRule="exact"/>
              <w:jc w:val="center"/>
              <w:rPr>
                <w:rFonts w:ascii="Arial" w:hAnsi="Arial" w:cs="Arial"/>
                <w:b/>
                <w:bCs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18"/>
                <w:lang w:val="en-US"/>
              </w:rPr>
              <w:t>TOLERANČNÍ PATENT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16120" w:rsidRPr="00816120" w:rsidRDefault="00816120" w:rsidP="00816120">
            <w:pPr>
              <w:pStyle w:val="Styl"/>
              <w:spacing w:before="86" w:line="275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1612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FRVŠ</w:t>
            </w:r>
          </w:p>
          <w:p w:rsidR="00816120" w:rsidRPr="00816120" w:rsidRDefault="00816120" w:rsidP="00816120">
            <w:pPr>
              <w:pStyle w:val="Styl"/>
              <w:spacing w:before="86" w:line="275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1612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16120">
              <w:rPr>
                <w:rFonts w:ascii="Arial" w:hAnsi="Arial" w:cs="Arial"/>
                <w:b/>
                <w:bCs/>
                <w:sz w:val="18"/>
                <w:szCs w:val="18"/>
              </w:rPr>
              <w:t>3820/2011</w:t>
            </w:r>
          </w:p>
        </w:tc>
      </w:tr>
      <w:tr w:rsidR="00816120" w:rsidRPr="00816120">
        <w:trPr>
          <w:trHeight w:val="748"/>
        </w:trPr>
        <w:tc>
          <w:tcPr>
            <w:tcW w:w="765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816120" w:rsidRPr="00816120" w:rsidRDefault="00816120" w:rsidP="00816120">
            <w:pPr>
              <w:pStyle w:val="Styl"/>
              <w:spacing w:before="86" w:line="275" w:lineRule="exact"/>
              <w:jc w:val="center"/>
              <w:rPr>
                <w:rFonts w:cs="Arial"/>
                <w:b/>
                <w:bCs/>
                <w:szCs w:val="18"/>
                <w:lang w:val="en-US"/>
              </w:rPr>
            </w:pPr>
            <w:r w:rsidRPr="00816120">
              <w:rPr>
                <w:rFonts w:ascii="Arial" w:hAnsi="Arial" w:cs="Arial"/>
                <w:b/>
                <w:bCs/>
                <w:szCs w:val="18"/>
                <w:lang w:val="en-US"/>
              </w:rPr>
              <w:t>AKTUÁLNÍ NÁBOŽENSKÁ SITUACE V ČR</w:t>
            </w:r>
          </w:p>
          <w:p w:rsidR="00816120" w:rsidRPr="00816120" w:rsidRDefault="00816120" w:rsidP="00816120">
            <w:pPr>
              <w:pStyle w:val="Styl"/>
              <w:spacing w:before="86" w:line="275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</w:tcPr>
          <w:p w:rsidR="00816120" w:rsidRPr="00816120" w:rsidRDefault="00816120" w:rsidP="00816120">
            <w:pPr>
              <w:pStyle w:val="Styl"/>
              <w:spacing w:before="86" w:line="275" w:lineRule="exact"/>
              <w:jc w:val="both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</w:tr>
    </w:tbl>
    <w:p w:rsidR="00816120" w:rsidRDefault="00816120" w:rsidP="00816120">
      <w:pPr>
        <w:jc w:val="center"/>
      </w:pPr>
    </w:p>
    <w:bookmarkEnd w:id="0"/>
    <w:p w:rsidR="00227A9F" w:rsidRDefault="00227A9F" w:rsidP="008C7CC1">
      <w:pPr>
        <w:spacing w:line="360" w:lineRule="auto"/>
        <w:jc w:val="center"/>
        <w:rPr>
          <w:lang w:val="cs-CZ"/>
        </w:rPr>
      </w:pPr>
    </w:p>
    <w:p w:rsidR="00227A9F" w:rsidRDefault="00227A9F" w:rsidP="008C7CC1">
      <w:pPr>
        <w:spacing w:line="360" w:lineRule="auto"/>
        <w:jc w:val="center"/>
        <w:rPr>
          <w:lang w:val="cs-CZ"/>
        </w:rPr>
      </w:pPr>
    </w:p>
    <w:p w:rsidR="008C7CC1" w:rsidRPr="00227A9F" w:rsidRDefault="008C7CC1" w:rsidP="008C7CC1">
      <w:pPr>
        <w:spacing w:line="360" w:lineRule="auto"/>
        <w:jc w:val="center"/>
        <w:rPr>
          <w:b/>
          <w:lang w:val="cs-CZ"/>
        </w:rPr>
      </w:pPr>
      <w:r w:rsidRPr="00227A9F">
        <w:rPr>
          <w:b/>
          <w:lang w:val="cs-CZ"/>
        </w:rPr>
        <w:t>Josef II.</w:t>
      </w:r>
    </w:p>
    <w:p w:rsidR="008C7CC1" w:rsidRPr="00227A9F" w:rsidRDefault="008C7CC1" w:rsidP="008C7CC1">
      <w:pPr>
        <w:spacing w:line="360" w:lineRule="auto"/>
        <w:jc w:val="center"/>
        <w:rPr>
          <w:b/>
          <w:bCs/>
          <w:lang w:val="cs-CZ"/>
        </w:rPr>
      </w:pPr>
      <w:r w:rsidRPr="00227A9F">
        <w:rPr>
          <w:b/>
          <w:bCs/>
          <w:lang w:val="cs-CZ"/>
        </w:rPr>
        <w:t xml:space="preserve">Veškerým </w:t>
      </w:r>
      <w:proofErr w:type="spellStart"/>
      <w:r w:rsidRPr="00227A9F">
        <w:rPr>
          <w:b/>
          <w:bCs/>
          <w:lang w:val="cs-CZ"/>
        </w:rPr>
        <w:t>c</w:t>
      </w:r>
      <w:proofErr w:type="spellEnd"/>
      <w:r w:rsidRPr="00227A9F">
        <w:rPr>
          <w:b/>
          <w:bCs/>
          <w:lang w:val="cs-CZ"/>
        </w:rPr>
        <w:t>. k. zemským úřadům.</w:t>
      </w:r>
    </w:p>
    <w:p w:rsidR="008C7CC1" w:rsidRDefault="008C7CC1" w:rsidP="008C7CC1">
      <w:pPr>
        <w:spacing w:line="360" w:lineRule="auto"/>
        <w:rPr>
          <w:bCs/>
          <w:lang w:val="cs-CZ"/>
        </w:rPr>
      </w:pPr>
    </w:p>
    <w:p w:rsidR="008C7CC1" w:rsidRDefault="008C7CC1" w:rsidP="008C7CC1">
      <w:pPr>
        <w:spacing w:line="360" w:lineRule="auto"/>
        <w:rPr>
          <w:bCs/>
          <w:lang w:val="cs-CZ"/>
        </w:rPr>
      </w:pPr>
      <w:r w:rsidRPr="008C7CC1">
        <w:rPr>
          <w:bCs/>
          <w:lang w:val="cs-CZ"/>
        </w:rPr>
        <w:t>»Milí věrní! Jsouce přesvědčeni jednak o škodlivosti všeho nátlaku na svědomí a</w:t>
      </w:r>
      <w:r>
        <w:rPr>
          <w:bCs/>
          <w:lang w:val="cs-CZ"/>
        </w:rPr>
        <w:t xml:space="preserve"> jednak o </w:t>
      </w:r>
      <w:r w:rsidRPr="008C7CC1">
        <w:rPr>
          <w:bCs/>
          <w:lang w:val="cs-CZ"/>
        </w:rPr>
        <w:t>velikém užitku, kterýž pro náboženství a stát pochází z pravé křesťanské</w:t>
      </w:r>
      <w:r>
        <w:rPr>
          <w:bCs/>
          <w:lang w:val="cs-CZ"/>
        </w:rPr>
        <w:t xml:space="preserve"> tolerance, viděli </w:t>
      </w:r>
      <w:r w:rsidRPr="008C7CC1">
        <w:rPr>
          <w:bCs/>
          <w:lang w:val="cs-CZ"/>
        </w:rPr>
        <w:t>Jsme se pohnuti, vyznavačům augsburského a helvetského náboženství,</w:t>
      </w:r>
      <w:r>
        <w:rPr>
          <w:bCs/>
          <w:lang w:val="cs-CZ"/>
        </w:rPr>
        <w:t xml:space="preserve"> pak nesjednoceným </w:t>
      </w:r>
      <w:r w:rsidRPr="008C7CC1">
        <w:rPr>
          <w:bCs/>
          <w:lang w:val="cs-CZ"/>
        </w:rPr>
        <w:t xml:space="preserve">Řekům </w:t>
      </w:r>
      <w:proofErr w:type="spellStart"/>
      <w:r w:rsidRPr="008C7CC1">
        <w:rPr>
          <w:bCs/>
          <w:lang w:val="cs-CZ"/>
        </w:rPr>
        <w:t>povoliti</w:t>
      </w:r>
      <w:proofErr w:type="spellEnd"/>
      <w:r w:rsidRPr="008C7CC1">
        <w:rPr>
          <w:bCs/>
          <w:lang w:val="cs-CZ"/>
        </w:rPr>
        <w:t xml:space="preserve"> všude soukromé vykonávání jejich náboženství bez</w:t>
      </w:r>
      <w:r>
        <w:rPr>
          <w:bCs/>
          <w:lang w:val="cs-CZ"/>
        </w:rPr>
        <w:t xml:space="preserve"> ohledu na to, zdali kdy </w:t>
      </w:r>
      <w:r w:rsidRPr="008C7CC1">
        <w:rPr>
          <w:bCs/>
          <w:lang w:val="cs-CZ"/>
        </w:rPr>
        <w:t>stávalo nebo kdy zavedeno bylo čili nic. Katolickému náboženství</w:t>
      </w:r>
      <w:r>
        <w:rPr>
          <w:bCs/>
          <w:lang w:val="cs-CZ"/>
        </w:rPr>
        <w:t xml:space="preserve"> samojedinému má </w:t>
      </w:r>
      <w:proofErr w:type="spellStart"/>
      <w:r>
        <w:rPr>
          <w:bCs/>
          <w:lang w:val="cs-CZ"/>
        </w:rPr>
        <w:t>zůstati</w:t>
      </w:r>
      <w:proofErr w:type="spellEnd"/>
      <w:r>
        <w:rPr>
          <w:bCs/>
          <w:lang w:val="cs-CZ"/>
        </w:rPr>
        <w:t xml:space="preserve"> </w:t>
      </w:r>
      <w:r w:rsidRPr="008C7CC1">
        <w:rPr>
          <w:bCs/>
          <w:lang w:val="cs-CZ"/>
        </w:rPr>
        <w:t>přednost veřejného náboženského vykonávání, obojímu</w:t>
      </w:r>
      <w:r>
        <w:rPr>
          <w:bCs/>
          <w:lang w:val="cs-CZ"/>
        </w:rPr>
        <w:t xml:space="preserve"> </w:t>
      </w:r>
      <w:r w:rsidRPr="008C7CC1">
        <w:rPr>
          <w:bCs/>
          <w:lang w:val="cs-CZ"/>
        </w:rPr>
        <w:t>protestantskému náboženství však, jakož již stávajícímu nesjednocenému řeckému má na</w:t>
      </w:r>
      <w:r>
        <w:rPr>
          <w:bCs/>
          <w:lang w:val="cs-CZ"/>
        </w:rPr>
        <w:t xml:space="preserve"> </w:t>
      </w:r>
      <w:r w:rsidRPr="008C7CC1">
        <w:rPr>
          <w:bCs/>
          <w:lang w:val="cs-CZ"/>
        </w:rPr>
        <w:t xml:space="preserve">všech místech, kde se to podle níže uvedeného počtu lidí a podle možnosti obyvatelů </w:t>
      </w:r>
      <w:proofErr w:type="spellStart"/>
      <w:r w:rsidRPr="008C7CC1">
        <w:rPr>
          <w:bCs/>
          <w:lang w:val="cs-CZ"/>
        </w:rPr>
        <w:t>učiniti</w:t>
      </w:r>
      <w:proofErr w:type="spellEnd"/>
      <w:r>
        <w:rPr>
          <w:bCs/>
          <w:lang w:val="cs-CZ"/>
        </w:rPr>
        <w:t xml:space="preserve"> </w:t>
      </w:r>
      <w:r w:rsidRPr="008C7CC1">
        <w:rPr>
          <w:bCs/>
          <w:lang w:val="cs-CZ"/>
        </w:rPr>
        <w:t>dá, a kde nekatolíci práva veřejného vykonávání náboženství nepožívají, soukromé</w:t>
      </w:r>
      <w:r>
        <w:rPr>
          <w:bCs/>
          <w:lang w:val="cs-CZ"/>
        </w:rPr>
        <w:t xml:space="preserve"> </w:t>
      </w:r>
      <w:r w:rsidRPr="008C7CC1">
        <w:rPr>
          <w:bCs/>
          <w:lang w:val="cs-CZ"/>
        </w:rPr>
        <w:t xml:space="preserve">vykonávání dovoleno </w:t>
      </w:r>
      <w:proofErr w:type="spellStart"/>
      <w:r w:rsidRPr="008C7CC1">
        <w:rPr>
          <w:bCs/>
          <w:lang w:val="cs-CZ"/>
        </w:rPr>
        <w:t>býti</w:t>
      </w:r>
      <w:proofErr w:type="spellEnd"/>
      <w:r w:rsidRPr="008C7CC1">
        <w:rPr>
          <w:bCs/>
          <w:lang w:val="cs-CZ"/>
        </w:rPr>
        <w:t>. Zejména pak svolujeme k tomu:</w:t>
      </w:r>
      <w:r>
        <w:rPr>
          <w:bCs/>
          <w:lang w:val="cs-CZ"/>
        </w:rPr>
        <w:t xml:space="preserve"> </w:t>
      </w:r>
    </w:p>
    <w:p w:rsidR="008C7CC1" w:rsidRPr="008C7CC1" w:rsidRDefault="008C7CC1" w:rsidP="008C7CC1">
      <w:pPr>
        <w:spacing w:line="360" w:lineRule="auto"/>
        <w:rPr>
          <w:bCs/>
          <w:lang w:val="cs-CZ"/>
        </w:rPr>
      </w:pPr>
      <w:r w:rsidRPr="008C7CC1">
        <w:rPr>
          <w:bCs/>
          <w:lang w:val="cs-CZ"/>
        </w:rPr>
        <w:t>Předně: aby nekatoličtí poddaní, kde žije 100 rodin, byť i v místě modlitebny anebo</w:t>
      </w:r>
      <w:r>
        <w:rPr>
          <w:bCs/>
          <w:lang w:val="cs-CZ"/>
        </w:rPr>
        <w:t xml:space="preserve"> </w:t>
      </w:r>
      <w:r w:rsidRPr="008C7CC1">
        <w:rPr>
          <w:bCs/>
          <w:lang w:val="cs-CZ"/>
        </w:rPr>
        <w:t>duchovního správce nebydlely, nýbrž část jich byla vzdálena několik hodin, směli sobě</w:t>
      </w:r>
      <w:r>
        <w:rPr>
          <w:bCs/>
          <w:lang w:val="cs-CZ"/>
        </w:rPr>
        <w:t xml:space="preserve"> </w:t>
      </w:r>
      <w:proofErr w:type="spellStart"/>
      <w:r w:rsidRPr="008C7CC1">
        <w:rPr>
          <w:bCs/>
          <w:lang w:val="cs-CZ"/>
        </w:rPr>
        <w:t>vystavěti</w:t>
      </w:r>
      <w:proofErr w:type="spellEnd"/>
      <w:r w:rsidRPr="008C7CC1">
        <w:rPr>
          <w:bCs/>
          <w:lang w:val="cs-CZ"/>
        </w:rPr>
        <w:t xml:space="preserve"> vlastní modlitebnu a mimo to školu; vzdálenější pak do nejbližší, však v </w:t>
      </w:r>
      <w:proofErr w:type="spellStart"/>
      <w:r w:rsidRPr="008C7CC1">
        <w:rPr>
          <w:bCs/>
          <w:lang w:val="cs-CZ"/>
        </w:rPr>
        <w:t>c</w:t>
      </w:r>
      <w:proofErr w:type="spellEnd"/>
      <w:r w:rsidRPr="008C7CC1">
        <w:rPr>
          <w:bCs/>
          <w:lang w:val="cs-CZ"/>
        </w:rPr>
        <w:t>. k.</w:t>
      </w:r>
      <w:r>
        <w:rPr>
          <w:bCs/>
          <w:lang w:val="cs-CZ"/>
        </w:rPr>
        <w:t xml:space="preserve"> </w:t>
      </w:r>
      <w:r w:rsidRPr="008C7CC1">
        <w:rPr>
          <w:bCs/>
          <w:lang w:val="cs-CZ"/>
        </w:rPr>
        <w:t xml:space="preserve">dědičných zemích se nacházející modlitebny, </w:t>
      </w:r>
      <w:proofErr w:type="spellStart"/>
      <w:r w:rsidRPr="008C7CC1">
        <w:rPr>
          <w:bCs/>
          <w:lang w:val="cs-CZ"/>
        </w:rPr>
        <w:t>kolikrátkoli</w:t>
      </w:r>
      <w:proofErr w:type="spellEnd"/>
      <w:r w:rsidRPr="008C7CC1">
        <w:rPr>
          <w:bCs/>
          <w:lang w:val="cs-CZ"/>
        </w:rPr>
        <w:t xml:space="preserve"> by chtěli, se </w:t>
      </w:r>
      <w:proofErr w:type="spellStart"/>
      <w:r w:rsidRPr="008C7CC1">
        <w:rPr>
          <w:bCs/>
          <w:lang w:val="cs-CZ"/>
        </w:rPr>
        <w:t>vypraviti</w:t>
      </w:r>
      <w:proofErr w:type="spellEnd"/>
      <w:r w:rsidRPr="008C7CC1">
        <w:rPr>
          <w:bCs/>
          <w:lang w:val="cs-CZ"/>
        </w:rPr>
        <w:t xml:space="preserve"> mohou, též</w:t>
      </w:r>
      <w:r>
        <w:rPr>
          <w:bCs/>
          <w:lang w:val="cs-CZ"/>
        </w:rPr>
        <w:t xml:space="preserve"> </w:t>
      </w:r>
      <w:r w:rsidRPr="008C7CC1">
        <w:rPr>
          <w:bCs/>
          <w:lang w:val="cs-CZ"/>
        </w:rPr>
        <w:t xml:space="preserve">jejich duchovní z dědičných zemí svých domácích víry </w:t>
      </w:r>
      <w:proofErr w:type="spellStart"/>
      <w:r w:rsidRPr="008C7CC1">
        <w:rPr>
          <w:bCs/>
          <w:lang w:val="cs-CZ"/>
        </w:rPr>
        <w:t>navštěvovati</w:t>
      </w:r>
      <w:proofErr w:type="spellEnd"/>
      <w:r w:rsidRPr="008C7CC1">
        <w:rPr>
          <w:bCs/>
          <w:lang w:val="cs-CZ"/>
        </w:rPr>
        <w:t xml:space="preserve"> a jim i nemocným</w:t>
      </w:r>
    </w:p>
    <w:p w:rsidR="008C7CC1" w:rsidRDefault="008C7CC1" w:rsidP="008C7CC1">
      <w:pPr>
        <w:spacing w:line="360" w:lineRule="auto"/>
        <w:rPr>
          <w:bCs/>
          <w:lang w:val="cs-CZ"/>
        </w:rPr>
      </w:pPr>
      <w:r w:rsidRPr="008C7CC1">
        <w:rPr>
          <w:bCs/>
          <w:lang w:val="cs-CZ"/>
        </w:rPr>
        <w:t xml:space="preserve">potřebným vyučováním, duchovním a tělesným potěšením </w:t>
      </w:r>
      <w:proofErr w:type="spellStart"/>
      <w:r w:rsidRPr="008C7CC1">
        <w:rPr>
          <w:bCs/>
          <w:lang w:val="cs-CZ"/>
        </w:rPr>
        <w:t>přisluhovati</w:t>
      </w:r>
      <w:proofErr w:type="spellEnd"/>
      <w:r w:rsidRPr="008C7CC1">
        <w:rPr>
          <w:bCs/>
          <w:lang w:val="cs-CZ"/>
        </w:rPr>
        <w:t>, však nikdy, pod</w:t>
      </w:r>
      <w:r>
        <w:rPr>
          <w:bCs/>
          <w:lang w:val="cs-CZ"/>
        </w:rPr>
        <w:t xml:space="preserve"> </w:t>
      </w:r>
      <w:r w:rsidRPr="008C7CC1">
        <w:rPr>
          <w:bCs/>
          <w:lang w:val="cs-CZ"/>
        </w:rPr>
        <w:t xml:space="preserve">uvarováním nejtěžší odpovědnosti, nemají </w:t>
      </w:r>
      <w:proofErr w:type="spellStart"/>
      <w:r w:rsidRPr="008C7CC1">
        <w:rPr>
          <w:bCs/>
          <w:lang w:val="cs-CZ"/>
        </w:rPr>
        <w:t>překážeti</w:t>
      </w:r>
      <w:proofErr w:type="spellEnd"/>
      <w:r w:rsidRPr="008C7CC1">
        <w:rPr>
          <w:bCs/>
          <w:lang w:val="cs-CZ"/>
        </w:rPr>
        <w:t>, aby tím aneb oním nemocným</w:t>
      </w:r>
      <w:r>
        <w:rPr>
          <w:bCs/>
          <w:lang w:val="cs-CZ"/>
        </w:rPr>
        <w:t xml:space="preserve"> </w:t>
      </w:r>
      <w:r w:rsidRPr="008C7CC1">
        <w:rPr>
          <w:bCs/>
          <w:lang w:val="cs-CZ"/>
        </w:rPr>
        <w:t>dožádaný katolický duchovní povolán nebyl.</w:t>
      </w:r>
    </w:p>
    <w:p w:rsidR="008C7CC1" w:rsidRDefault="008C7CC1" w:rsidP="008C7CC1">
      <w:pPr>
        <w:spacing w:line="360" w:lineRule="auto"/>
        <w:rPr>
          <w:bCs/>
          <w:lang w:val="cs-CZ"/>
        </w:rPr>
      </w:pPr>
      <w:r w:rsidRPr="008C7CC1">
        <w:rPr>
          <w:bCs/>
          <w:lang w:val="cs-CZ"/>
        </w:rPr>
        <w:t>Co se týče modlitebny, nařizujeme výslovně, aby, kde toho ještě není, taková</w:t>
      </w:r>
      <w:r>
        <w:rPr>
          <w:bCs/>
          <w:lang w:val="cs-CZ"/>
        </w:rPr>
        <w:t xml:space="preserve"> </w:t>
      </w:r>
      <w:r w:rsidRPr="008C7CC1">
        <w:rPr>
          <w:bCs/>
          <w:lang w:val="cs-CZ"/>
        </w:rPr>
        <w:t>modlitebna neměla žádného zvonění, žádných zvonů, věží, ani veřejného vchodu z ulice,</w:t>
      </w:r>
      <w:r>
        <w:rPr>
          <w:bCs/>
          <w:lang w:val="cs-CZ"/>
        </w:rPr>
        <w:t xml:space="preserve"> </w:t>
      </w:r>
      <w:r w:rsidRPr="008C7CC1">
        <w:rPr>
          <w:bCs/>
          <w:lang w:val="cs-CZ"/>
        </w:rPr>
        <w:t xml:space="preserve">jenž by chrám představoval, jinak však mohou ji, z jakékoli hmoty chtějí, </w:t>
      </w:r>
      <w:proofErr w:type="spellStart"/>
      <w:r w:rsidRPr="008C7CC1">
        <w:rPr>
          <w:bCs/>
          <w:lang w:val="cs-CZ"/>
        </w:rPr>
        <w:t>vystavěti</w:t>
      </w:r>
      <w:proofErr w:type="spellEnd"/>
      <w:r w:rsidRPr="008C7CC1">
        <w:rPr>
          <w:bCs/>
          <w:lang w:val="cs-CZ"/>
        </w:rPr>
        <w:t>, též</w:t>
      </w:r>
      <w:r>
        <w:rPr>
          <w:bCs/>
          <w:lang w:val="cs-CZ"/>
        </w:rPr>
        <w:t xml:space="preserve"> </w:t>
      </w:r>
      <w:r w:rsidRPr="008C7CC1">
        <w:rPr>
          <w:bCs/>
          <w:lang w:val="cs-CZ"/>
        </w:rPr>
        <w:t>posluhování jejich svátostmi a vykonávání služeb Božích jak v místě samém tak</w:t>
      </w:r>
      <w:r>
        <w:rPr>
          <w:bCs/>
          <w:lang w:val="cs-CZ"/>
        </w:rPr>
        <w:t xml:space="preserve"> </w:t>
      </w:r>
      <w:r w:rsidRPr="008C7CC1">
        <w:rPr>
          <w:bCs/>
          <w:lang w:val="cs-CZ"/>
        </w:rPr>
        <w:t>přenášením jich k nemocným v přináležejících filiálkách, potom veřejné pohřby</w:t>
      </w:r>
      <w:r>
        <w:rPr>
          <w:bCs/>
          <w:lang w:val="cs-CZ"/>
        </w:rPr>
        <w:t xml:space="preserve"> </w:t>
      </w:r>
      <w:r w:rsidRPr="008C7CC1">
        <w:rPr>
          <w:bCs/>
          <w:lang w:val="cs-CZ"/>
        </w:rPr>
        <w:t xml:space="preserve">s průvodem jejich duchovního mají </w:t>
      </w:r>
      <w:proofErr w:type="spellStart"/>
      <w:r w:rsidRPr="008C7CC1">
        <w:rPr>
          <w:bCs/>
          <w:lang w:val="cs-CZ"/>
        </w:rPr>
        <w:t>býti</w:t>
      </w:r>
      <w:proofErr w:type="spellEnd"/>
      <w:r w:rsidRPr="008C7CC1">
        <w:rPr>
          <w:bCs/>
          <w:lang w:val="cs-CZ"/>
        </w:rPr>
        <w:t xml:space="preserve"> úplně dovoleny.</w:t>
      </w:r>
    </w:p>
    <w:p w:rsidR="008C7CC1" w:rsidRDefault="008C7CC1" w:rsidP="008C7CC1">
      <w:pPr>
        <w:spacing w:line="360" w:lineRule="auto"/>
        <w:rPr>
          <w:bCs/>
          <w:lang w:val="cs-CZ"/>
        </w:rPr>
      </w:pPr>
      <w:r w:rsidRPr="008C7CC1">
        <w:rPr>
          <w:bCs/>
          <w:lang w:val="cs-CZ"/>
        </w:rPr>
        <w:lastRenderedPageBreak/>
        <w:t>Za druhé: zůstavuje se jim na vůli, aby ustanovovali své vlastní učitele, kteříž od</w:t>
      </w:r>
      <w:r>
        <w:rPr>
          <w:bCs/>
          <w:lang w:val="cs-CZ"/>
        </w:rPr>
        <w:t xml:space="preserve"> </w:t>
      </w:r>
      <w:r w:rsidRPr="008C7CC1">
        <w:rPr>
          <w:bCs/>
          <w:lang w:val="cs-CZ"/>
        </w:rPr>
        <w:t xml:space="preserve">sborů vydržováni </w:t>
      </w:r>
      <w:proofErr w:type="spellStart"/>
      <w:r w:rsidRPr="008C7CC1">
        <w:rPr>
          <w:bCs/>
          <w:lang w:val="cs-CZ"/>
        </w:rPr>
        <w:t>býti</w:t>
      </w:r>
      <w:proofErr w:type="spellEnd"/>
      <w:r w:rsidRPr="008C7CC1">
        <w:rPr>
          <w:bCs/>
          <w:lang w:val="cs-CZ"/>
        </w:rPr>
        <w:t xml:space="preserve"> mají, na kteréž však naše </w:t>
      </w:r>
      <w:proofErr w:type="spellStart"/>
      <w:r w:rsidRPr="008C7CC1">
        <w:rPr>
          <w:bCs/>
          <w:lang w:val="cs-CZ"/>
        </w:rPr>
        <w:t>tamnější</w:t>
      </w:r>
      <w:proofErr w:type="spellEnd"/>
      <w:r w:rsidRPr="008C7CC1">
        <w:rPr>
          <w:bCs/>
          <w:lang w:val="cs-CZ"/>
        </w:rPr>
        <w:t xml:space="preserve"> školní ředitelství má </w:t>
      </w:r>
      <w:proofErr w:type="spellStart"/>
      <w:r w:rsidRPr="008C7CC1">
        <w:rPr>
          <w:bCs/>
          <w:lang w:val="cs-CZ"/>
        </w:rPr>
        <w:t>dohlížeti</w:t>
      </w:r>
      <w:proofErr w:type="spellEnd"/>
      <w:r w:rsidRPr="008C7CC1">
        <w:rPr>
          <w:bCs/>
          <w:lang w:val="cs-CZ"/>
        </w:rPr>
        <w:t>, co</w:t>
      </w:r>
      <w:r>
        <w:rPr>
          <w:bCs/>
          <w:lang w:val="cs-CZ"/>
        </w:rPr>
        <w:t xml:space="preserve"> </w:t>
      </w:r>
      <w:r w:rsidRPr="008C7CC1">
        <w:rPr>
          <w:bCs/>
          <w:lang w:val="cs-CZ"/>
        </w:rPr>
        <w:t>se vyučovacího způsobu a pořádku týče. Podobně povolujeme:</w:t>
      </w:r>
    </w:p>
    <w:p w:rsidR="007C27AE" w:rsidRDefault="008C7CC1" w:rsidP="008C7CC1">
      <w:pPr>
        <w:spacing w:line="360" w:lineRule="auto"/>
        <w:rPr>
          <w:bCs/>
          <w:lang w:val="cs-CZ"/>
        </w:rPr>
      </w:pPr>
      <w:r w:rsidRPr="008C7CC1">
        <w:rPr>
          <w:bCs/>
          <w:lang w:val="cs-CZ"/>
        </w:rPr>
        <w:t>Za třetí: nekatolickým obyvatelům nějakého místa, jestliže své duchovní správce sami</w:t>
      </w:r>
      <w:r>
        <w:rPr>
          <w:bCs/>
          <w:lang w:val="cs-CZ"/>
        </w:rPr>
        <w:t xml:space="preserve"> </w:t>
      </w:r>
      <w:r w:rsidRPr="008C7CC1">
        <w:rPr>
          <w:bCs/>
          <w:lang w:val="cs-CZ"/>
        </w:rPr>
        <w:t xml:space="preserve">vydržují, volbu jich, kdyby to však vrchností na </w:t>
      </w:r>
      <w:proofErr w:type="gramStart"/>
      <w:r w:rsidRPr="008C7CC1">
        <w:rPr>
          <w:bCs/>
          <w:lang w:val="cs-CZ"/>
        </w:rPr>
        <w:t>se</w:t>
      </w:r>
      <w:proofErr w:type="gramEnd"/>
      <w:r w:rsidRPr="008C7CC1">
        <w:rPr>
          <w:bCs/>
          <w:lang w:val="cs-CZ"/>
        </w:rPr>
        <w:t xml:space="preserve"> </w:t>
      </w:r>
      <w:proofErr w:type="spellStart"/>
      <w:r w:rsidRPr="008C7CC1">
        <w:rPr>
          <w:bCs/>
          <w:lang w:val="cs-CZ"/>
        </w:rPr>
        <w:t>vzíti</w:t>
      </w:r>
      <w:proofErr w:type="spellEnd"/>
      <w:r w:rsidRPr="008C7CC1">
        <w:rPr>
          <w:bCs/>
          <w:lang w:val="cs-CZ"/>
        </w:rPr>
        <w:t xml:space="preserve"> chtěly, musely by ovšem </w:t>
      </w:r>
      <w:proofErr w:type="spellStart"/>
      <w:r w:rsidRPr="008C7CC1">
        <w:rPr>
          <w:bCs/>
          <w:lang w:val="cs-CZ"/>
        </w:rPr>
        <w:t>požívati</w:t>
      </w:r>
      <w:proofErr w:type="spellEnd"/>
      <w:r>
        <w:rPr>
          <w:bCs/>
          <w:lang w:val="cs-CZ"/>
        </w:rPr>
        <w:t xml:space="preserve"> </w:t>
      </w:r>
      <w:r w:rsidRPr="008C7CC1">
        <w:rPr>
          <w:bCs/>
          <w:lang w:val="cs-CZ"/>
        </w:rPr>
        <w:t xml:space="preserve">práva </w:t>
      </w:r>
      <w:proofErr w:type="spellStart"/>
      <w:r w:rsidRPr="008C7CC1">
        <w:rPr>
          <w:bCs/>
          <w:lang w:val="cs-CZ"/>
        </w:rPr>
        <w:t>praesentačního</w:t>
      </w:r>
      <w:proofErr w:type="spellEnd"/>
      <w:r w:rsidRPr="008C7CC1">
        <w:rPr>
          <w:bCs/>
          <w:lang w:val="cs-CZ"/>
        </w:rPr>
        <w:t>; potvrzení vyhrazujeme si však tím způsobem, že, kde se</w:t>
      </w:r>
      <w:r>
        <w:rPr>
          <w:bCs/>
          <w:lang w:val="cs-CZ"/>
        </w:rPr>
        <w:t xml:space="preserve"> </w:t>
      </w:r>
      <w:r w:rsidRPr="008C7CC1">
        <w:rPr>
          <w:bCs/>
          <w:lang w:val="cs-CZ"/>
        </w:rPr>
        <w:t>protestantské konsistoře nacházejí, toto potvrzení jimi, a kde jich není, buďto</w:t>
      </w:r>
      <w:r>
        <w:rPr>
          <w:bCs/>
          <w:lang w:val="cs-CZ"/>
        </w:rPr>
        <w:t xml:space="preserve"> </w:t>
      </w:r>
      <w:r w:rsidRPr="008C7CC1">
        <w:rPr>
          <w:bCs/>
          <w:lang w:val="cs-CZ"/>
        </w:rPr>
        <w:t xml:space="preserve">protestantskými konsistořemi trvajícími již na </w:t>
      </w:r>
      <w:proofErr w:type="spellStart"/>
      <w:r w:rsidRPr="008C7CC1">
        <w:rPr>
          <w:bCs/>
          <w:lang w:val="cs-CZ"/>
        </w:rPr>
        <w:t>Těšínsku</w:t>
      </w:r>
      <w:proofErr w:type="spellEnd"/>
      <w:r w:rsidRPr="008C7CC1">
        <w:rPr>
          <w:bCs/>
          <w:lang w:val="cs-CZ"/>
        </w:rPr>
        <w:t xml:space="preserve"> anebo v Uhrách uděleno </w:t>
      </w:r>
      <w:proofErr w:type="spellStart"/>
      <w:r w:rsidRPr="008C7CC1">
        <w:rPr>
          <w:bCs/>
          <w:lang w:val="cs-CZ"/>
        </w:rPr>
        <w:t>býti</w:t>
      </w:r>
      <w:proofErr w:type="spellEnd"/>
      <w:r w:rsidRPr="008C7CC1">
        <w:rPr>
          <w:bCs/>
          <w:lang w:val="cs-CZ"/>
        </w:rPr>
        <w:t xml:space="preserve"> má,</w:t>
      </w:r>
      <w:r w:rsidR="007C27AE">
        <w:rPr>
          <w:bCs/>
          <w:lang w:val="cs-CZ"/>
        </w:rPr>
        <w:t xml:space="preserve"> </w:t>
      </w:r>
      <w:r w:rsidRPr="008C7CC1">
        <w:rPr>
          <w:bCs/>
          <w:lang w:val="cs-CZ"/>
        </w:rPr>
        <w:t>pokud by toho okolnosti nevyhledávaly, aby v zemích byly zřízeny vlastní konsistoře.</w:t>
      </w:r>
    </w:p>
    <w:p w:rsidR="008C7CC1" w:rsidRPr="008C7CC1" w:rsidRDefault="008C7CC1" w:rsidP="008C7CC1">
      <w:pPr>
        <w:spacing w:line="360" w:lineRule="auto"/>
        <w:rPr>
          <w:bCs/>
          <w:lang w:val="cs-CZ"/>
        </w:rPr>
      </w:pPr>
      <w:r w:rsidRPr="008C7CC1">
        <w:rPr>
          <w:bCs/>
          <w:lang w:val="cs-CZ"/>
        </w:rPr>
        <w:t xml:space="preserve">Za čtvrté: </w:t>
      </w:r>
      <w:proofErr w:type="spellStart"/>
      <w:r w:rsidRPr="008C7CC1">
        <w:rPr>
          <w:bCs/>
          <w:lang w:val="cs-CZ"/>
        </w:rPr>
        <w:t>štolní</w:t>
      </w:r>
      <w:proofErr w:type="spellEnd"/>
      <w:r w:rsidRPr="008C7CC1">
        <w:rPr>
          <w:bCs/>
          <w:lang w:val="cs-CZ"/>
        </w:rPr>
        <w:t xml:space="preserve"> poplatky zůstanou, jako ve Slezsku, vyhrazeny řádnému faráři</w:t>
      </w:r>
    </w:p>
    <w:p w:rsidR="007C27AE" w:rsidRDefault="008C7CC1" w:rsidP="008C7CC1">
      <w:pPr>
        <w:spacing w:line="360" w:lineRule="auto"/>
        <w:rPr>
          <w:bCs/>
          <w:lang w:val="cs-CZ"/>
        </w:rPr>
      </w:pPr>
      <w:r w:rsidRPr="008C7CC1">
        <w:rPr>
          <w:bCs/>
          <w:lang w:val="cs-CZ"/>
        </w:rPr>
        <w:t>(</w:t>
      </w:r>
      <w:proofErr w:type="spellStart"/>
      <w:r w:rsidRPr="008C7CC1">
        <w:rPr>
          <w:bCs/>
          <w:lang w:val="cs-CZ"/>
        </w:rPr>
        <w:t>parocho</w:t>
      </w:r>
      <w:proofErr w:type="spellEnd"/>
      <w:r w:rsidRPr="008C7CC1">
        <w:rPr>
          <w:bCs/>
          <w:lang w:val="cs-CZ"/>
        </w:rPr>
        <w:t xml:space="preserve"> </w:t>
      </w:r>
      <w:proofErr w:type="spellStart"/>
      <w:r w:rsidRPr="008C7CC1">
        <w:rPr>
          <w:bCs/>
          <w:lang w:val="cs-CZ"/>
        </w:rPr>
        <w:t>ordinario</w:t>
      </w:r>
      <w:proofErr w:type="spellEnd"/>
      <w:r w:rsidRPr="008C7CC1">
        <w:rPr>
          <w:bCs/>
          <w:lang w:val="cs-CZ"/>
        </w:rPr>
        <w:t>).</w:t>
      </w:r>
    </w:p>
    <w:p w:rsidR="007C27AE" w:rsidRDefault="008C7CC1" w:rsidP="008C7CC1">
      <w:pPr>
        <w:spacing w:line="360" w:lineRule="auto"/>
        <w:rPr>
          <w:bCs/>
          <w:lang w:val="cs-CZ"/>
        </w:rPr>
      </w:pPr>
      <w:r w:rsidRPr="008C7CC1">
        <w:rPr>
          <w:bCs/>
          <w:lang w:val="cs-CZ"/>
        </w:rPr>
        <w:t>Za páté: Soudnictví ve věcech náboženství, nekatolíků se týkajících, milostivě</w:t>
      </w:r>
      <w:r w:rsidR="007C27AE">
        <w:rPr>
          <w:bCs/>
          <w:lang w:val="cs-CZ"/>
        </w:rPr>
        <w:t xml:space="preserve"> </w:t>
      </w:r>
      <w:r w:rsidRPr="008C7CC1">
        <w:rPr>
          <w:bCs/>
          <w:lang w:val="cs-CZ"/>
        </w:rPr>
        <w:t>ukládáme našemu politickému zemskému úřadu s přibráním jednoho anebo druhého</w:t>
      </w:r>
      <w:r w:rsidR="007C27AE">
        <w:rPr>
          <w:bCs/>
          <w:lang w:val="cs-CZ"/>
        </w:rPr>
        <w:t xml:space="preserve"> </w:t>
      </w:r>
      <w:r w:rsidRPr="008C7CC1">
        <w:rPr>
          <w:bCs/>
          <w:lang w:val="cs-CZ"/>
        </w:rPr>
        <w:t xml:space="preserve">z jejich duchovních a bohoslovců, kterýž má podle jejich náboženských zásad věc </w:t>
      </w:r>
      <w:proofErr w:type="spellStart"/>
      <w:r w:rsidRPr="008C7CC1">
        <w:rPr>
          <w:bCs/>
          <w:lang w:val="cs-CZ"/>
        </w:rPr>
        <w:t>posouditi</w:t>
      </w:r>
      <w:proofErr w:type="spellEnd"/>
      <w:r w:rsidR="007C27AE">
        <w:rPr>
          <w:bCs/>
          <w:lang w:val="cs-CZ"/>
        </w:rPr>
        <w:t xml:space="preserve"> a </w:t>
      </w:r>
      <w:proofErr w:type="spellStart"/>
      <w:r w:rsidR="007C27AE">
        <w:rPr>
          <w:bCs/>
          <w:lang w:val="cs-CZ"/>
        </w:rPr>
        <w:t>rozhodnouti</w:t>
      </w:r>
      <w:proofErr w:type="spellEnd"/>
      <w:r w:rsidR="007C27AE">
        <w:rPr>
          <w:bCs/>
          <w:lang w:val="cs-CZ"/>
        </w:rPr>
        <w:t xml:space="preserve">, proti </w:t>
      </w:r>
      <w:r w:rsidRPr="008C7CC1">
        <w:rPr>
          <w:bCs/>
          <w:lang w:val="cs-CZ"/>
        </w:rPr>
        <w:t>čemuž však se zůstavuje odvolání k našemu politickému dvorskému</w:t>
      </w:r>
      <w:r w:rsidR="007C27AE">
        <w:rPr>
          <w:bCs/>
          <w:lang w:val="cs-CZ"/>
        </w:rPr>
        <w:t xml:space="preserve"> </w:t>
      </w:r>
      <w:r w:rsidRPr="008C7CC1">
        <w:rPr>
          <w:bCs/>
          <w:lang w:val="cs-CZ"/>
        </w:rPr>
        <w:t>místu.</w:t>
      </w:r>
    </w:p>
    <w:p w:rsidR="007C27AE" w:rsidRDefault="008C7CC1" w:rsidP="008C7CC1">
      <w:pPr>
        <w:spacing w:line="360" w:lineRule="auto"/>
        <w:rPr>
          <w:bCs/>
          <w:lang w:val="cs-CZ"/>
        </w:rPr>
      </w:pPr>
      <w:r w:rsidRPr="008C7CC1">
        <w:rPr>
          <w:bCs/>
          <w:lang w:val="cs-CZ"/>
        </w:rPr>
        <w:t>Za šesté: Od dávání dosud obvyklých reversů při sňatcích se strany nekatolíků</w:t>
      </w:r>
      <w:r w:rsidR="007C27AE">
        <w:rPr>
          <w:bCs/>
          <w:lang w:val="cs-CZ"/>
        </w:rPr>
        <w:t xml:space="preserve"> v příčině </w:t>
      </w:r>
      <w:r w:rsidRPr="008C7CC1">
        <w:rPr>
          <w:bCs/>
          <w:lang w:val="cs-CZ"/>
        </w:rPr>
        <w:t>vychování jejich dítek v římskokatolickém náboženství má se od nynějška úplně</w:t>
      </w:r>
      <w:r w:rsidR="007C27AE">
        <w:rPr>
          <w:bCs/>
          <w:lang w:val="cs-CZ"/>
        </w:rPr>
        <w:t xml:space="preserve"> </w:t>
      </w:r>
      <w:proofErr w:type="spellStart"/>
      <w:r w:rsidR="007C27AE">
        <w:rPr>
          <w:bCs/>
          <w:lang w:val="cs-CZ"/>
        </w:rPr>
        <w:t>upustiti</w:t>
      </w:r>
      <w:proofErr w:type="spellEnd"/>
      <w:r w:rsidR="007C27AE">
        <w:rPr>
          <w:bCs/>
          <w:lang w:val="cs-CZ"/>
        </w:rPr>
        <w:t xml:space="preserve">, </w:t>
      </w:r>
      <w:r w:rsidRPr="008C7CC1">
        <w:rPr>
          <w:bCs/>
          <w:lang w:val="cs-CZ"/>
        </w:rPr>
        <w:t>poněvadž při katolickém otci všecky dítky, jak mužského tak ženského rodu mají</w:t>
      </w:r>
      <w:r w:rsidR="007C27AE">
        <w:rPr>
          <w:bCs/>
          <w:lang w:val="cs-CZ"/>
        </w:rPr>
        <w:t xml:space="preserve"> </w:t>
      </w:r>
      <w:proofErr w:type="spellStart"/>
      <w:r w:rsidR="007C27AE">
        <w:rPr>
          <w:bCs/>
          <w:lang w:val="cs-CZ"/>
        </w:rPr>
        <w:t>býti</w:t>
      </w:r>
      <w:proofErr w:type="spellEnd"/>
      <w:r w:rsidR="007C27AE">
        <w:rPr>
          <w:bCs/>
          <w:lang w:val="cs-CZ"/>
        </w:rPr>
        <w:t xml:space="preserve"> </w:t>
      </w:r>
      <w:r w:rsidRPr="008C7CC1">
        <w:rPr>
          <w:bCs/>
          <w:lang w:val="cs-CZ"/>
        </w:rPr>
        <w:t>vychovány beze všeho dotazování v katolickém náboženství, což se za přednost</w:t>
      </w:r>
      <w:r w:rsidR="007C27AE">
        <w:rPr>
          <w:bCs/>
          <w:lang w:val="cs-CZ"/>
        </w:rPr>
        <w:t xml:space="preserve"> </w:t>
      </w:r>
      <w:r w:rsidRPr="008C7CC1">
        <w:rPr>
          <w:bCs/>
          <w:lang w:val="cs-CZ"/>
        </w:rPr>
        <w:t>panujícího náboženství pokládá, kdežto naproti tomu při protestantském otci a katolické</w:t>
      </w:r>
      <w:r w:rsidR="007C27AE">
        <w:rPr>
          <w:bCs/>
          <w:lang w:val="cs-CZ"/>
        </w:rPr>
        <w:t xml:space="preserve"> </w:t>
      </w:r>
      <w:r w:rsidRPr="008C7CC1">
        <w:rPr>
          <w:bCs/>
          <w:lang w:val="cs-CZ"/>
        </w:rPr>
        <w:t xml:space="preserve">matce dítky pohlaví </w:t>
      </w:r>
      <w:proofErr w:type="spellStart"/>
      <w:r w:rsidRPr="008C7CC1">
        <w:rPr>
          <w:bCs/>
          <w:lang w:val="cs-CZ"/>
        </w:rPr>
        <w:t>následovati</w:t>
      </w:r>
      <w:proofErr w:type="spellEnd"/>
      <w:r w:rsidRPr="008C7CC1">
        <w:rPr>
          <w:bCs/>
          <w:lang w:val="cs-CZ"/>
        </w:rPr>
        <w:t xml:space="preserve"> mají.</w:t>
      </w:r>
    </w:p>
    <w:p w:rsidR="007C27AE" w:rsidRDefault="008C7CC1" w:rsidP="008C7CC1">
      <w:pPr>
        <w:spacing w:line="360" w:lineRule="auto"/>
        <w:rPr>
          <w:bCs/>
          <w:lang w:val="cs-CZ"/>
        </w:rPr>
      </w:pPr>
      <w:r w:rsidRPr="008C7CC1">
        <w:rPr>
          <w:bCs/>
          <w:lang w:val="cs-CZ"/>
        </w:rPr>
        <w:t xml:space="preserve">Za sedmé: Nekatolíci by mohli příště dispensací </w:t>
      </w:r>
      <w:proofErr w:type="spellStart"/>
      <w:r w:rsidRPr="008C7CC1">
        <w:rPr>
          <w:bCs/>
          <w:lang w:val="cs-CZ"/>
        </w:rPr>
        <w:t>býti</w:t>
      </w:r>
      <w:proofErr w:type="spellEnd"/>
      <w:r w:rsidRPr="008C7CC1">
        <w:rPr>
          <w:bCs/>
          <w:lang w:val="cs-CZ"/>
        </w:rPr>
        <w:t xml:space="preserve"> připuštěni ke koupi domů a</w:t>
      </w:r>
      <w:r w:rsidR="007C27AE">
        <w:rPr>
          <w:bCs/>
          <w:lang w:val="cs-CZ"/>
        </w:rPr>
        <w:t xml:space="preserve"> </w:t>
      </w:r>
      <w:r w:rsidRPr="008C7CC1">
        <w:rPr>
          <w:bCs/>
          <w:lang w:val="cs-CZ"/>
        </w:rPr>
        <w:t>statků, k právu měšťanskému a mistrovskému, k akademickým hodnostem a civilním</w:t>
      </w:r>
      <w:r w:rsidR="007C27AE">
        <w:rPr>
          <w:bCs/>
          <w:lang w:val="cs-CZ"/>
        </w:rPr>
        <w:t xml:space="preserve"> </w:t>
      </w:r>
      <w:r w:rsidRPr="008C7CC1">
        <w:rPr>
          <w:bCs/>
          <w:lang w:val="cs-CZ"/>
        </w:rPr>
        <w:t xml:space="preserve">službám, a nemají </w:t>
      </w:r>
      <w:proofErr w:type="spellStart"/>
      <w:r w:rsidRPr="008C7CC1">
        <w:rPr>
          <w:bCs/>
          <w:lang w:val="cs-CZ"/>
        </w:rPr>
        <w:t>býti</w:t>
      </w:r>
      <w:proofErr w:type="spellEnd"/>
      <w:r w:rsidRPr="008C7CC1">
        <w:rPr>
          <w:bCs/>
          <w:lang w:val="cs-CZ"/>
        </w:rPr>
        <w:t xml:space="preserve"> přidržováni k žádnému jinému způsobu přísahání než k tomu. </w:t>
      </w:r>
      <w:proofErr w:type="gramStart"/>
      <w:r w:rsidRPr="008C7CC1">
        <w:rPr>
          <w:bCs/>
          <w:lang w:val="cs-CZ"/>
        </w:rPr>
        <w:t>jenž</w:t>
      </w:r>
      <w:proofErr w:type="gramEnd"/>
      <w:r w:rsidR="007C27AE">
        <w:rPr>
          <w:bCs/>
          <w:lang w:val="cs-CZ"/>
        </w:rPr>
        <w:t xml:space="preserve"> </w:t>
      </w:r>
      <w:r w:rsidRPr="008C7CC1">
        <w:rPr>
          <w:bCs/>
          <w:lang w:val="cs-CZ"/>
        </w:rPr>
        <w:t>se s jejich náboženskými zásadami srovnává, ani k obcování průvodům anebo</w:t>
      </w:r>
      <w:r w:rsidR="007C27AE">
        <w:rPr>
          <w:bCs/>
          <w:lang w:val="cs-CZ"/>
        </w:rPr>
        <w:t xml:space="preserve"> </w:t>
      </w:r>
      <w:r w:rsidRPr="008C7CC1">
        <w:rPr>
          <w:bCs/>
          <w:lang w:val="cs-CZ"/>
        </w:rPr>
        <w:t>služebnostem panujícího náboženství, leč by sami chtěli. Také se má bez ohledu na rozdíl</w:t>
      </w:r>
      <w:r w:rsidR="007C27AE">
        <w:rPr>
          <w:bCs/>
          <w:lang w:val="cs-CZ"/>
        </w:rPr>
        <w:t xml:space="preserve"> </w:t>
      </w:r>
      <w:r w:rsidRPr="008C7CC1">
        <w:rPr>
          <w:bCs/>
          <w:lang w:val="cs-CZ"/>
        </w:rPr>
        <w:t>náboženství při všech volbách a všelikém propůjčování služeb, jak se u Našeho vojska</w:t>
      </w:r>
      <w:r w:rsidR="007C27AE">
        <w:rPr>
          <w:bCs/>
          <w:lang w:val="cs-CZ"/>
        </w:rPr>
        <w:t xml:space="preserve"> </w:t>
      </w:r>
      <w:r w:rsidRPr="008C7CC1">
        <w:rPr>
          <w:bCs/>
          <w:lang w:val="cs-CZ"/>
        </w:rPr>
        <w:t xml:space="preserve">denně beze vší závady a s velikým prospěchem děje, zevrubný zřetel </w:t>
      </w:r>
      <w:proofErr w:type="spellStart"/>
      <w:r w:rsidRPr="008C7CC1">
        <w:rPr>
          <w:bCs/>
          <w:lang w:val="cs-CZ"/>
        </w:rPr>
        <w:t>vzíti</w:t>
      </w:r>
      <w:proofErr w:type="spellEnd"/>
      <w:r w:rsidRPr="008C7CC1">
        <w:rPr>
          <w:bCs/>
          <w:lang w:val="cs-CZ"/>
        </w:rPr>
        <w:t xml:space="preserve"> jedině na</w:t>
      </w:r>
      <w:r w:rsidR="007C27AE">
        <w:rPr>
          <w:bCs/>
          <w:lang w:val="cs-CZ"/>
        </w:rPr>
        <w:t xml:space="preserve"> </w:t>
      </w:r>
      <w:r w:rsidRPr="008C7CC1">
        <w:rPr>
          <w:bCs/>
          <w:lang w:val="cs-CZ"/>
        </w:rPr>
        <w:t>poctivost a způsobilost uchazečů, pak na jejich křesťanské a mravní obcování. Podobné</w:t>
      </w:r>
      <w:r w:rsidR="007C27AE">
        <w:rPr>
          <w:bCs/>
          <w:lang w:val="cs-CZ"/>
        </w:rPr>
        <w:t xml:space="preserve"> </w:t>
      </w:r>
      <w:r w:rsidRPr="008C7CC1">
        <w:rPr>
          <w:bCs/>
          <w:lang w:val="cs-CZ"/>
        </w:rPr>
        <w:t xml:space="preserve">dispensace k nabytí držebnosti, pak práv měšťanských a mistrovských </w:t>
      </w:r>
      <w:proofErr w:type="spellStart"/>
      <w:r w:rsidRPr="008C7CC1">
        <w:rPr>
          <w:bCs/>
          <w:lang w:val="cs-CZ"/>
        </w:rPr>
        <w:t>buďtež</w:t>
      </w:r>
      <w:proofErr w:type="spellEnd"/>
      <w:r w:rsidR="007C27AE">
        <w:rPr>
          <w:bCs/>
          <w:lang w:val="cs-CZ"/>
        </w:rPr>
        <w:t xml:space="preserve"> </w:t>
      </w:r>
      <w:r w:rsidRPr="008C7CC1">
        <w:rPr>
          <w:bCs/>
          <w:lang w:val="cs-CZ"/>
        </w:rPr>
        <w:t>v poddanských městech krajskými úřady, v královských a věnných městech pak, kde</w:t>
      </w:r>
      <w:r w:rsidR="007C27AE">
        <w:rPr>
          <w:bCs/>
          <w:lang w:val="cs-CZ"/>
        </w:rPr>
        <w:t xml:space="preserve"> </w:t>
      </w:r>
      <w:r w:rsidRPr="008C7CC1">
        <w:rPr>
          <w:bCs/>
          <w:lang w:val="cs-CZ"/>
        </w:rPr>
        <w:t>zemští komoří jsou, těmito, a kde jich není, Naším zemským guberniem (zemským</w:t>
      </w:r>
      <w:r w:rsidR="007C27AE">
        <w:rPr>
          <w:bCs/>
          <w:lang w:val="cs-CZ"/>
        </w:rPr>
        <w:t xml:space="preserve"> </w:t>
      </w:r>
      <w:r w:rsidRPr="008C7CC1">
        <w:rPr>
          <w:bCs/>
          <w:lang w:val="cs-CZ"/>
        </w:rPr>
        <w:t>hejtmanstvím) beze všeho ztěžování udělovány. V případě však, že by se při dožádaných</w:t>
      </w:r>
      <w:r w:rsidR="007C27AE">
        <w:rPr>
          <w:bCs/>
          <w:lang w:val="cs-CZ"/>
        </w:rPr>
        <w:t xml:space="preserve"> </w:t>
      </w:r>
      <w:r w:rsidRPr="008C7CC1">
        <w:rPr>
          <w:bCs/>
          <w:lang w:val="cs-CZ"/>
        </w:rPr>
        <w:t xml:space="preserve">dispensacích vyskytly překážky, pro které by měly </w:t>
      </w:r>
      <w:proofErr w:type="spellStart"/>
      <w:r w:rsidRPr="008C7CC1">
        <w:rPr>
          <w:bCs/>
          <w:lang w:val="cs-CZ"/>
        </w:rPr>
        <w:t>býti</w:t>
      </w:r>
      <w:proofErr w:type="spellEnd"/>
      <w:r w:rsidRPr="008C7CC1">
        <w:rPr>
          <w:bCs/>
          <w:lang w:val="cs-CZ"/>
        </w:rPr>
        <w:t xml:space="preserve"> odepřeny, budiž o tom pokaždé</w:t>
      </w:r>
      <w:r w:rsidR="007C27AE">
        <w:rPr>
          <w:bCs/>
          <w:lang w:val="cs-CZ"/>
        </w:rPr>
        <w:t xml:space="preserve"> </w:t>
      </w:r>
      <w:r w:rsidRPr="008C7CC1">
        <w:rPr>
          <w:bCs/>
          <w:lang w:val="cs-CZ"/>
        </w:rPr>
        <w:t xml:space="preserve">našemu guberniu (zemskému hejtmanství) a od vás sem </w:t>
      </w:r>
      <w:r w:rsidRPr="008C7CC1">
        <w:rPr>
          <w:bCs/>
          <w:lang w:val="cs-CZ"/>
        </w:rPr>
        <w:lastRenderedPageBreak/>
        <w:t>podána zpráva spolu s</w:t>
      </w:r>
      <w:r w:rsidR="007C27AE">
        <w:rPr>
          <w:bCs/>
          <w:lang w:val="cs-CZ"/>
        </w:rPr>
        <w:t> </w:t>
      </w:r>
      <w:r w:rsidRPr="008C7CC1">
        <w:rPr>
          <w:bCs/>
          <w:lang w:val="cs-CZ"/>
        </w:rPr>
        <w:t>důvody</w:t>
      </w:r>
      <w:r w:rsidR="007C27AE">
        <w:rPr>
          <w:bCs/>
          <w:lang w:val="cs-CZ"/>
        </w:rPr>
        <w:t xml:space="preserve"> </w:t>
      </w:r>
      <w:r w:rsidRPr="008C7CC1">
        <w:rPr>
          <w:bCs/>
          <w:lang w:val="cs-CZ"/>
        </w:rPr>
        <w:t>k vůli opatření sobě Našeho nejvyššího rozhodnutí.</w:t>
      </w:r>
      <w:r w:rsidR="007C27AE">
        <w:rPr>
          <w:bCs/>
          <w:lang w:val="cs-CZ"/>
        </w:rPr>
        <w:t xml:space="preserve"> </w:t>
      </w:r>
      <w:r w:rsidRPr="008C7CC1">
        <w:rPr>
          <w:bCs/>
          <w:lang w:val="cs-CZ"/>
        </w:rPr>
        <w:t>Kde však běží o občanské právo vyššího stavu, tam nechť udělí dispensaci po</w:t>
      </w:r>
      <w:r w:rsidR="007C27AE">
        <w:rPr>
          <w:bCs/>
          <w:lang w:val="cs-CZ"/>
        </w:rPr>
        <w:t xml:space="preserve"> </w:t>
      </w:r>
      <w:r w:rsidRPr="008C7CC1">
        <w:rPr>
          <w:bCs/>
          <w:lang w:val="cs-CZ"/>
        </w:rPr>
        <w:t>předchozím vyslechnutí zemského úřadu Naše česko-rakouská dvorská kancelář.</w:t>
      </w:r>
    </w:p>
    <w:p w:rsidR="008C7CC1" w:rsidRPr="008C7CC1" w:rsidRDefault="008C7CC1" w:rsidP="008C7CC1">
      <w:pPr>
        <w:spacing w:line="360" w:lineRule="auto"/>
        <w:rPr>
          <w:bCs/>
          <w:lang w:val="cs-CZ"/>
        </w:rPr>
      </w:pPr>
      <w:r w:rsidRPr="008C7CC1">
        <w:rPr>
          <w:bCs/>
          <w:lang w:val="cs-CZ"/>
        </w:rPr>
        <w:t>Toto Naše nejvyšší rozhodnutí oznámíte krajským úřadům, městským radám a</w:t>
      </w:r>
      <w:r w:rsidR="007C27AE">
        <w:rPr>
          <w:bCs/>
          <w:lang w:val="cs-CZ"/>
        </w:rPr>
        <w:t xml:space="preserve"> </w:t>
      </w:r>
      <w:r w:rsidRPr="008C7CC1">
        <w:rPr>
          <w:bCs/>
          <w:lang w:val="cs-CZ"/>
        </w:rPr>
        <w:t xml:space="preserve">panstvím zvláště tištěnými oběžníky, kterých větší počet než obyčejně jindy vydán </w:t>
      </w:r>
      <w:proofErr w:type="spellStart"/>
      <w:r w:rsidRPr="008C7CC1">
        <w:rPr>
          <w:bCs/>
          <w:lang w:val="cs-CZ"/>
        </w:rPr>
        <w:t>býti</w:t>
      </w:r>
      <w:proofErr w:type="spellEnd"/>
      <w:r w:rsidRPr="008C7CC1">
        <w:rPr>
          <w:bCs/>
          <w:lang w:val="cs-CZ"/>
        </w:rPr>
        <w:t xml:space="preserve"> má,</w:t>
      </w:r>
      <w:r w:rsidR="007C27AE">
        <w:rPr>
          <w:bCs/>
          <w:lang w:val="cs-CZ"/>
        </w:rPr>
        <w:t xml:space="preserve"> </w:t>
      </w:r>
      <w:r w:rsidRPr="008C7CC1">
        <w:rPr>
          <w:bCs/>
          <w:lang w:val="cs-CZ"/>
        </w:rPr>
        <w:t>tamním nakladatelským knihtiskařům pak dáte povolení, aby každému, kdo jich žádá,</w:t>
      </w:r>
      <w:r w:rsidR="007C27AE">
        <w:rPr>
          <w:bCs/>
          <w:lang w:val="cs-CZ"/>
        </w:rPr>
        <w:t xml:space="preserve"> </w:t>
      </w:r>
      <w:r w:rsidRPr="008C7CC1">
        <w:rPr>
          <w:bCs/>
          <w:lang w:val="cs-CZ"/>
        </w:rPr>
        <w:t xml:space="preserve">takové tištěné oběžníky </w:t>
      </w:r>
      <w:proofErr w:type="spellStart"/>
      <w:r w:rsidRPr="008C7CC1">
        <w:rPr>
          <w:bCs/>
          <w:lang w:val="cs-CZ"/>
        </w:rPr>
        <w:t>vydati</w:t>
      </w:r>
      <w:proofErr w:type="spellEnd"/>
      <w:r w:rsidRPr="008C7CC1">
        <w:rPr>
          <w:bCs/>
          <w:lang w:val="cs-CZ"/>
        </w:rPr>
        <w:t xml:space="preserve"> směli a tak dostatečné rozšíření i v jiných zemích </w:t>
      </w:r>
      <w:proofErr w:type="gramStart"/>
      <w:r w:rsidRPr="008C7CC1">
        <w:rPr>
          <w:bCs/>
          <w:lang w:val="cs-CZ"/>
        </w:rPr>
        <w:t>umožnili.«</w:t>
      </w:r>
      <w:proofErr w:type="gramEnd"/>
    </w:p>
    <w:p w:rsidR="007C27AE" w:rsidRDefault="007C27AE" w:rsidP="008C7CC1">
      <w:pPr>
        <w:spacing w:line="360" w:lineRule="auto"/>
        <w:rPr>
          <w:bCs/>
          <w:lang w:val="cs-CZ"/>
        </w:rPr>
      </w:pPr>
    </w:p>
    <w:p w:rsidR="00816120" w:rsidRDefault="008C7CC1" w:rsidP="008C7CC1">
      <w:pPr>
        <w:spacing w:line="360" w:lineRule="auto"/>
        <w:rPr>
          <w:bCs/>
          <w:lang w:val="cs-CZ"/>
        </w:rPr>
      </w:pPr>
      <w:r w:rsidRPr="008C7CC1">
        <w:rPr>
          <w:bCs/>
          <w:lang w:val="cs-CZ"/>
        </w:rPr>
        <w:t>Ve Vídni dne 13. října 1781.</w:t>
      </w:r>
    </w:p>
    <w:p w:rsidR="00C2094A" w:rsidRDefault="00C2094A" w:rsidP="008C7CC1">
      <w:pPr>
        <w:spacing w:line="360" w:lineRule="auto"/>
        <w:rPr>
          <w:bCs/>
          <w:lang w:val="cs-CZ"/>
        </w:rPr>
      </w:pPr>
    </w:p>
    <w:p w:rsidR="00C2094A" w:rsidRDefault="00C2094A" w:rsidP="008C7CC1">
      <w:pPr>
        <w:spacing w:line="360" w:lineRule="auto"/>
        <w:rPr>
          <w:bCs/>
          <w:lang w:val="cs-CZ"/>
        </w:rPr>
      </w:pPr>
    </w:p>
    <w:p w:rsidR="00C2094A" w:rsidRDefault="00C2094A" w:rsidP="008C7CC1">
      <w:pPr>
        <w:spacing w:line="360" w:lineRule="auto"/>
        <w:rPr>
          <w:bCs/>
          <w:lang w:val="cs-CZ"/>
        </w:rPr>
      </w:pPr>
    </w:p>
    <w:p w:rsidR="00C2094A" w:rsidRDefault="00C2094A" w:rsidP="008C7CC1">
      <w:pPr>
        <w:spacing w:line="360" w:lineRule="auto"/>
        <w:rPr>
          <w:bCs/>
          <w:lang w:val="cs-CZ"/>
        </w:rPr>
      </w:pPr>
    </w:p>
    <w:p w:rsidR="00C2094A" w:rsidRPr="00C2094A" w:rsidRDefault="00C2094A" w:rsidP="008C7CC1">
      <w:pPr>
        <w:spacing w:line="360" w:lineRule="auto"/>
        <w:rPr>
          <w:sz w:val="16"/>
          <w:szCs w:val="16"/>
        </w:rPr>
      </w:pPr>
      <w:r w:rsidRPr="00C2094A">
        <w:rPr>
          <w:bCs/>
          <w:sz w:val="16"/>
          <w:szCs w:val="16"/>
          <w:lang w:val="cs-CZ"/>
        </w:rPr>
        <w:t xml:space="preserve">Zdroj: </w:t>
      </w:r>
      <w:hyperlink r:id="rId5" w:history="1">
        <w:r w:rsidRPr="00C2094A">
          <w:rPr>
            <w:rStyle w:val="Hypertextovodkaz"/>
            <w:bCs/>
            <w:sz w:val="16"/>
            <w:szCs w:val="16"/>
            <w:lang w:val="cs-CZ"/>
          </w:rPr>
          <w:t>http://veritas.evangnet.cz/download/patent.pdf</w:t>
        </w:r>
      </w:hyperlink>
      <w:r w:rsidRPr="00C2094A">
        <w:rPr>
          <w:bCs/>
          <w:sz w:val="16"/>
          <w:szCs w:val="16"/>
          <w:lang w:val="cs-CZ"/>
        </w:rPr>
        <w:t xml:space="preserve"> (staženo dne 28. 11. 2011)</w:t>
      </w:r>
    </w:p>
    <w:sectPr w:rsidR="00C2094A" w:rsidRPr="00C2094A" w:rsidSect="00785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91150"/>
    <w:multiLevelType w:val="multilevel"/>
    <w:tmpl w:val="AAACF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stylePaneSortMethod w:val="000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E5F"/>
    <w:rsid w:val="00227A9F"/>
    <w:rsid w:val="007858B6"/>
    <w:rsid w:val="007C27AE"/>
    <w:rsid w:val="00816120"/>
    <w:rsid w:val="008C7CC1"/>
    <w:rsid w:val="00C2094A"/>
    <w:rsid w:val="00D11E5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858B6"/>
    <w:rPr>
      <w:sz w:val="24"/>
      <w:szCs w:val="24"/>
      <w:lang w:val="en-US"/>
    </w:rPr>
  </w:style>
  <w:style w:type="paragraph" w:styleId="Nadpis3">
    <w:name w:val="heading 3"/>
    <w:basedOn w:val="Normln"/>
    <w:qFormat/>
    <w:rsid w:val="00D11E5F"/>
    <w:pPr>
      <w:spacing w:before="100" w:beforeAutospacing="1" w:after="100" w:afterAutospacing="1"/>
      <w:outlineLvl w:val="2"/>
    </w:pPr>
    <w:rPr>
      <w:b/>
      <w:bCs/>
      <w:sz w:val="27"/>
      <w:szCs w:val="27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D11E5F"/>
    <w:rPr>
      <w:b/>
      <w:bCs/>
    </w:rPr>
  </w:style>
  <w:style w:type="character" w:styleId="Hypertextovodkaz">
    <w:name w:val="Hyperlink"/>
    <w:basedOn w:val="Standardnpsmoodstavce"/>
    <w:rsid w:val="00D11E5F"/>
    <w:rPr>
      <w:color w:val="0000FF"/>
      <w:u w:val="single"/>
    </w:rPr>
  </w:style>
  <w:style w:type="character" w:styleId="Zvraznn">
    <w:name w:val="Emphasis"/>
    <w:basedOn w:val="Standardnpsmoodstavce"/>
    <w:qFormat/>
    <w:rsid w:val="00D11E5F"/>
    <w:rPr>
      <w:i/>
      <w:iCs/>
    </w:rPr>
  </w:style>
  <w:style w:type="paragraph" w:customStyle="1" w:styleId="Styl">
    <w:name w:val="Styl"/>
    <w:rsid w:val="00F0752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Mkatabulky2">
    <w:name w:val="Table Grid 2"/>
    <w:basedOn w:val="Normlntabulka"/>
    <w:rsid w:val="00F0752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2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ritas.evangnet.cz/download/paten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809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ffmu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DAVID</dc:creator>
  <cp:keywords/>
  <dc:description/>
  <cp:lastModifiedBy>Lenovo User</cp:lastModifiedBy>
  <cp:revision>5</cp:revision>
  <dcterms:created xsi:type="dcterms:W3CDTF">2011-11-28T13:33:00Z</dcterms:created>
  <dcterms:modified xsi:type="dcterms:W3CDTF">2011-12-09T13:10:00Z</dcterms:modified>
</cp:coreProperties>
</file>