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73" w:rsidRDefault="00A33573" w:rsidP="00A33573">
      <w:pPr>
        <w:pStyle w:val="Default"/>
      </w:pPr>
    </w:p>
    <w:p w:rsidR="00A33573" w:rsidRDefault="00A33573" w:rsidP="00A33573">
      <w:pPr>
        <w:pStyle w:val="Default"/>
        <w:rPr>
          <w:rFonts w:cstheme="minorBidi"/>
          <w:color w:val="auto"/>
        </w:rPr>
      </w:pPr>
    </w:p>
    <w:p w:rsidR="00A33573" w:rsidRPr="009533DD" w:rsidRDefault="00A33573" w:rsidP="00A33573">
      <w:pPr>
        <w:rPr>
          <w:b/>
        </w:rPr>
      </w:pPr>
      <w:r w:rsidRPr="009533DD">
        <w:rPr>
          <w:b/>
        </w:rPr>
        <w:t xml:space="preserve"> Diplomatik (Urkundenlehre): </w:t>
      </w:r>
    </w:p>
    <w:p w:rsidR="00A33573" w:rsidRPr="00A33573" w:rsidRDefault="00A33573" w:rsidP="00A33573">
      <w:r>
        <w:t>Bezeichnung „Diplomatik“ ist als Begriff für die Disziplin relativ jung (19. Jh.), obwohl der Gegenstand die älteste Teildisziplin des Fächerbündels Historische Hilfswissenschaften ist.</w:t>
      </w:r>
    </w:p>
    <w:p w:rsidR="006928C9" w:rsidRPr="009533DD" w:rsidRDefault="00A33573" w:rsidP="00A33573">
      <w:pPr>
        <w:rPr>
          <w:b/>
          <w:bCs/>
        </w:rPr>
      </w:pPr>
      <w:r>
        <w:t xml:space="preserve">Definition des Urkundenbegriffs: </w:t>
      </w:r>
      <w:r w:rsidRPr="009533DD">
        <w:rPr>
          <w:b/>
        </w:rPr>
        <w:t xml:space="preserve">Urkunden sind </w:t>
      </w:r>
      <w:r w:rsidRPr="009533DD">
        <w:rPr>
          <w:b/>
          <w:bCs/>
        </w:rPr>
        <w:t>nach bestimmten, nach Raum und Zeit unterschiedlichen Gewohnheiten und Formen abgefasste und gestaltete schriftliche Aufzeichnungen rechtlichen Inhalts.</w:t>
      </w:r>
    </w:p>
    <w:p w:rsidR="00A33573" w:rsidRPr="00A33573" w:rsidRDefault="00A33573" w:rsidP="00A33573">
      <w:pPr>
        <w:pStyle w:val="Default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A33573">
        <w:rPr>
          <w:rFonts w:asciiTheme="minorHAnsi" w:hAnsiTheme="minorHAnsi" w:cstheme="minorBidi"/>
          <w:bCs/>
          <w:color w:val="auto"/>
          <w:sz w:val="22"/>
          <w:szCs w:val="22"/>
        </w:rPr>
        <w:t xml:space="preserve">Diplomatik umfasst typischerweise die Analyse äußerer und innerer Merkmale: </w:t>
      </w:r>
    </w:p>
    <w:p w:rsidR="00A33573" w:rsidRDefault="00A33573" w:rsidP="00A33573">
      <w:pPr>
        <w:pStyle w:val="Default"/>
        <w:spacing w:before="10"/>
        <w:ind w:right="668"/>
        <w:rPr>
          <w:rFonts w:asciiTheme="minorHAnsi" w:hAnsiTheme="minorHAnsi" w:cstheme="minorBidi"/>
          <w:bCs/>
          <w:color w:val="auto"/>
          <w:sz w:val="22"/>
          <w:szCs w:val="22"/>
        </w:rPr>
      </w:pPr>
    </w:p>
    <w:p w:rsidR="00A33573" w:rsidRPr="009533DD" w:rsidRDefault="00A33573" w:rsidP="009533DD">
      <w:pPr>
        <w:pStyle w:val="Default"/>
        <w:spacing w:before="10"/>
        <w:ind w:right="668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9533DD">
        <w:rPr>
          <w:rFonts w:asciiTheme="minorHAnsi" w:hAnsiTheme="minorHAnsi" w:cstheme="minorBidi"/>
          <w:b/>
          <w:bCs/>
          <w:color w:val="auto"/>
          <w:sz w:val="22"/>
          <w:szCs w:val="22"/>
        </w:rPr>
        <w:t>Äußere Merkmale</w:t>
      </w:r>
      <w:r>
        <w:rPr>
          <w:rFonts w:asciiTheme="minorHAnsi" w:hAnsiTheme="minorHAnsi" w:cstheme="minorBidi"/>
          <w:bCs/>
          <w:color w:val="auto"/>
          <w:sz w:val="22"/>
          <w:szCs w:val="22"/>
        </w:rPr>
        <w:t xml:space="preserve"> sind z. B.: </w:t>
      </w:r>
      <w:r w:rsidRPr="00A33573">
        <w:rPr>
          <w:rFonts w:asciiTheme="minorHAnsi" w:hAnsiTheme="minorHAnsi" w:cstheme="minorBidi"/>
          <w:bCs/>
          <w:color w:val="auto"/>
          <w:sz w:val="22"/>
          <w:szCs w:val="22"/>
        </w:rPr>
        <w:t xml:space="preserve">Beschreib- (und Schreib-) Stoff, Format, Schriftspiegel bzw. Layout, Schrift und graphische Symbole und Zeichen, </w:t>
      </w:r>
      <w:r w:rsidR="009C6058">
        <w:rPr>
          <w:rFonts w:asciiTheme="minorHAnsi" w:hAnsiTheme="minorHAnsi" w:cstheme="minorBidi"/>
          <w:bCs/>
          <w:color w:val="auto"/>
          <w:sz w:val="22"/>
          <w:szCs w:val="22"/>
        </w:rPr>
        <w:t>Beglaubigungsmittel (</w:t>
      </w:r>
      <w:r w:rsidRPr="00A33573">
        <w:rPr>
          <w:rFonts w:asciiTheme="minorHAnsi" w:hAnsiTheme="minorHAnsi" w:cstheme="minorBidi"/>
          <w:bCs/>
          <w:color w:val="auto"/>
          <w:sz w:val="22"/>
          <w:szCs w:val="22"/>
        </w:rPr>
        <w:t>Besiegelung</w:t>
      </w:r>
      <w:r w:rsidR="009C6058">
        <w:rPr>
          <w:rFonts w:asciiTheme="minorHAnsi" w:hAnsiTheme="minorHAnsi" w:cstheme="minorBidi"/>
          <w:bCs/>
          <w:color w:val="auto"/>
          <w:sz w:val="22"/>
          <w:szCs w:val="22"/>
        </w:rPr>
        <w:t>)</w:t>
      </w:r>
      <w:r w:rsidRPr="00A33573">
        <w:rPr>
          <w:rFonts w:asciiTheme="minorHAnsi" w:hAnsiTheme="minorHAnsi" w:cstheme="minorBidi"/>
          <w:bCs/>
          <w:color w:val="auto"/>
          <w:sz w:val="22"/>
          <w:szCs w:val="22"/>
        </w:rPr>
        <w:t xml:space="preserve">, Vermerke </w:t>
      </w:r>
    </w:p>
    <w:p w:rsidR="00A33573" w:rsidRDefault="00A33573" w:rsidP="00A33573">
      <w:pPr>
        <w:rPr>
          <w:bCs/>
        </w:rPr>
      </w:pPr>
      <w:r w:rsidRPr="009533DD">
        <w:rPr>
          <w:b/>
          <w:bCs/>
        </w:rPr>
        <w:t>Innere Merkmale</w:t>
      </w:r>
      <w:r w:rsidRPr="00A33573">
        <w:rPr>
          <w:bCs/>
        </w:rPr>
        <w:t>: Sprache und Formular, Diktat, Rechtsinhalt</w:t>
      </w:r>
    </w:p>
    <w:p w:rsidR="00A33573" w:rsidRDefault="00A33573" w:rsidP="00A33573">
      <w:pPr>
        <w:rPr>
          <w:bCs/>
        </w:rPr>
      </w:pPr>
      <w:r>
        <w:rPr>
          <w:bCs/>
        </w:rPr>
        <w:t xml:space="preserve">In der Analyse äußerer und innerer Merkmale versucht die Diplomatik die Kanzleigemäßheit einer Urkunde im Sinne einer Unterscheidung echter und verdächtiger Stücke </w:t>
      </w:r>
      <w:r w:rsidR="009C6058">
        <w:rPr>
          <w:bCs/>
        </w:rPr>
        <w:t>zu ermitteln.</w:t>
      </w:r>
    </w:p>
    <w:p w:rsidR="009C6058" w:rsidRDefault="009C6058" w:rsidP="00A33573">
      <w:pPr>
        <w:rPr>
          <w:bCs/>
        </w:rPr>
      </w:pPr>
      <w:r>
        <w:rPr>
          <w:bCs/>
        </w:rPr>
        <w:t xml:space="preserve">Trias der Beschreibstoffe der Urkunden des Mittelalters: Papyrus – Pergament – Papier </w:t>
      </w:r>
    </w:p>
    <w:p w:rsidR="009331EA" w:rsidRDefault="009C6058" w:rsidP="00A33573">
      <w:pPr>
        <w:rPr>
          <w:bCs/>
        </w:rPr>
      </w:pPr>
      <w:r>
        <w:rPr>
          <w:bCs/>
        </w:rPr>
        <w:t>Ab dem 7. Jahrhundert erfolgt der Wechsel vom wichtigsten antiken Beschreibstoff Papyrus hin zum Pergament; in der päpstlichen Kanzlei und Sü</w:t>
      </w:r>
      <w:r w:rsidR="009331EA">
        <w:rPr>
          <w:bCs/>
        </w:rPr>
        <w:t>ditalien (Ravenna) bleibt Papyru</w:t>
      </w:r>
      <w:r>
        <w:rPr>
          <w:bCs/>
        </w:rPr>
        <w:t>s noch bis ins 10.</w:t>
      </w:r>
      <w:r w:rsidR="009331EA">
        <w:rPr>
          <w:bCs/>
        </w:rPr>
        <w:t xml:space="preserve"> Jh. In Gebrauch.</w:t>
      </w:r>
    </w:p>
    <w:p w:rsidR="009331EA" w:rsidRDefault="009331EA" w:rsidP="00A33573">
      <w:pPr>
        <w:rPr>
          <w:bCs/>
        </w:rPr>
      </w:pPr>
      <w:r>
        <w:rPr>
          <w:bCs/>
        </w:rPr>
        <w:t>Aus der spätantiken Form der Urkunde in Form zweier (geschlossener) Wachstafeln leitet sich die Bezeichnung „</w:t>
      </w:r>
      <w:proofErr w:type="spellStart"/>
      <w:r>
        <w:rPr>
          <w:bCs/>
        </w:rPr>
        <w:t>tabulae</w:t>
      </w:r>
      <w:proofErr w:type="spellEnd"/>
      <w:r>
        <w:rPr>
          <w:bCs/>
        </w:rPr>
        <w:t>“ für Urkunde ab.</w:t>
      </w:r>
    </w:p>
    <w:p w:rsidR="009C6058" w:rsidRDefault="009331EA" w:rsidP="00A33573">
      <w:pPr>
        <w:rPr>
          <w:bCs/>
        </w:rPr>
      </w:pPr>
      <w:r>
        <w:rPr>
          <w:bCs/>
        </w:rPr>
        <w:t>Im Frühmittelalter wird Pergament sparsam verwendet: kleine Formate, unregelmäßiger Beschnitt, Stücke mit Löchern etc.; im Spätmittelalter dagegen werden für feierliche und öffentlichkeitswirksame Beurkundungen große Formate verwendet (z. B. für die illuminierten Sammelindulgenzen aus Avignon in den 1330er Jahren)</w:t>
      </w:r>
    </w:p>
    <w:p w:rsidR="009331EA" w:rsidRDefault="009331EA" w:rsidP="00A33573">
      <w:pPr>
        <w:rPr>
          <w:bCs/>
        </w:rPr>
      </w:pPr>
      <w:r>
        <w:rPr>
          <w:bCs/>
        </w:rPr>
        <w:t>Schreibwerkzeug ist zunächst das Schreibrohr (</w:t>
      </w:r>
      <w:proofErr w:type="spellStart"/>
      <w:r>
        <w:rPr>
          <w:bCs/>
        </w:rPr>
        <w:t>calamus</w:t>
      </w:r>
      <w:proofErr w:type="spellEnd"/>
      <w:r>
        <w:rPr>
          <w:bCs/>
        </w:rPr>
        <w:t>), dann die Feder (</w:t>
      </w:r>
      <w:proofErr w:type="spellStart"/>
      <w:r>
        <w:rPr>
          <w:bCs/>
        </w:rPr>
        <w:t>penna</w:t>
      </w:r>
      <w:proofErr w:type="spellEnd"/>
      <w:r>
        <w:rPr>
          <w:bCs/>
        </w:rPr>
        <w:t>); das Zuschneiden der Feder („Temperieren“) wird regelmäßig in Schreibmeisterbüchern gelehrt.</w:t>
      </w:r>
    </w:p>
    <w:p w:rsidR="009331EA" w:rsidRDefault="009331EA" w:rsidP="00A33573">
      <w:pPr>
        <w:rPr>
          <w:bCs/>
        </w:rPr>
      </w:pPr>
      <w:r>
        <w:rPr>
          <w:bCs/>
        </w:rPr>
        <w:t>Öffentlichkeit von Urkunden: mitunter existieren monumentale Zweitausfertigungen von kanzleigemäßen Urkunden als Urkundeninschriften an gut sichtbaren öffentlichen Orten.</w:t>
      </w:r>
    </w:p>
    <w:p w:rsidR="009331EA" w:rsidRDefault="009331EA" w:rsidP="00A33573">
      <w:pPr>
        <w:rPr>
          <w:bCs/>
        </w:rPr>
      </w:pPr>
      <w:r>
        <w:rPr>
          <w:bCs/>
        </w:rPr>
        <w:t>Urkundenausfertigungen können auch performativ zum Einsatz kommen: demonstratives Vorzeigen von Urkunden, Einbindung in Rituale.</w:t>
      </w:r>
    </w:p>
    <w:p w:rsidR="009331EA" w:rsidRDefault="009331EA" w:rsidP="00A33573">
      <w:pPr>
        <w:rPr>
          <w:bCs/>
        </w:rPr>
      </w:pPr>
      <w:proofErr w:type="spellStart"/>
      <w:r>
        <w:rPr>
          <w:bCs/>
        </w:rPr>
        <w:t>Archivische</w:t>
      </w:r>
      <w:proofErr w:type="spellEnd"/>
      <w:r>
        <w:rPr>
          <w:bCs/>
        </w:rPr>
        <w:t xml:space="preserve"> Vermerke </w:t>
      </w:r>
      <w:r w:rsidR="00650BAC">
        <w:rPr>
          <w:bCs/>
        </w:rPr>
        <w:t xml:space="preserve">(Betreffe, Archivsignaturen) </w:t>
      </w:r>
      <w:r>
        <w:rPr>
          <w:bCs/>
        </w:rPr>
        <w:t xml:space="preserve">oft nicht nur </w:t>
      </w:r>
      <w:proofErr w:type="spellStart"/>
      <w:r>
        <w:rPr>
          <w:bCs/>
        </w:rPr>
        <w:t>dorsual</w:t>
      </w:r>
      <w:proofErr w:type="spellEnd"/>
      <w:r>
        <w:rPr>
          <w:bCs/>
        </w:rPr>
        <w:t xml:space="preserve"> auf dem Pergamentblatt angebracht, sondern auch auf der </w:t>
      </w:r>
      <w:proofErr w:type="spellStart"/>
      <w:r>
        <w:rPr>
          <w:bCs/>
        </w:rPr>
        <w:t>Plica</w:t>
      </w:r>
      <w:proofErr w:type="spellEnd"/>
    </w:p>
    <w:p w:rsidR="009331EA" w:rsidRDefault="009331EA" w:rsidP="00A33573">
      <w:pPr>
        <w:rPr>
          <w:bCs/>
        </w:rPr>
      </w:pPr>
      <w:r>
        <w:rPr>
          <w:bCs/>
        </w:rPr>
        <w:t>Diplomatik unterscheidet nach dem Aussteller klassisch drei Typen von Urkunden:</w:t>
      </w:r>
    </w:p>
    <w:p w:rsidR="009331EA" w:rsidRPr="009533DD" w:rsidRDefault="009331EA" w:rsidP="00A33573">
      <w:pPr>
        <w:rPr>
          <w:b/>
          <w:bCs/>
        </w:rPr>
      </w:pPr>
      <w:r w:rsidRPr="009533DD">
        <w:rPr>
          <w:b/>
          <w:bCs/>
        </w:rPr>
        <w:t xml:space="preserve">Kaiser- und Königsurkunden – Papsturkunden – Privaturkunden </w:t>
      </w:r>
    </w:p>
    <w:p w:rsidR="009533DD" w:rsidRDefault="009533DD" w:rsidP="009533DD">
      <w:pPr>
        <w:rPr>
          <w:bCs/>
        </w:rPr>
      </w:pPr>
      <w:r w:rsidRPr="00E22FD4">
        <w:rPr>
          <w:bCs/>
        </w:rPr>
        <w:t xml:space="preserve">Diplomatischer Begriff der </w:t>
      </w:r>
      <w:r w:rsidRPr="009533DD">
        <w:rPr>
          <w:b/>
          <w:bCs/>
        </w:rPr>
        <w:t>Privaturkunde</w:t>
      </w:r>
      <w:r w:rsidRPr="00E22FD4">
        <w:rPr>
          <w:bCs/>
        </w:rPr>
        <w:t xml:space="preserve"> im ausschließenden Verfahren definiert: alle Urkunden, die nicht Herrscher (Kaiser/Könige) und Päpste zum Aussteller haben. Ordnungsprinzip vieler mittelalterlicher Kopialbücher (</w:t>
      </w:r>
      <w:proofErr w:type="spellStart"/>
      <w:r w:rsidRPr="00E22FD4">
        <w:rPr>
          <w:bCs/>
        </w:rPr>
        <w:t>Chartulare</w:t>
      </w:r>
      <w:proofErr w:type="spellEnd"/>
      <w:r w:rsidRPr="00E22FD4">
        <w:rPr>
          <w:bCs/>
        </w:rPr>
        <w:t xml:space="preserve">). Grund: im Frühmittelalter galten nur diese Urkunden als aus sich heraus glaubwürdig (nur Herrscher können Dritte rechtskräftig in ihre Aussagen und Handlungen einbinden bzw. auch in fremder Sache </w:t>
      </w:r>
      <w:proofErr w:type="spellStart"/>
      <w:r w:rsidRPr="00E22FD4">
        <w:rPr>
          <w:bCs/>
        </w:rPr>
        <w:t>urkunden</w:t>
      </w:r>
      <w:proofErr w:type="spellEnd"/>
      <w:r w:rsidRPr="00E22FD4">
        <w:rPr>
          <w:bCs/>
        </w:rPr>
        <w:t>/bestätigen).</w:t>
      </w:r>
    </w:p>
    <w:p w:rsidR="00650BAC" w:rsidRPr="00650BAC" w:rsidRDefault="00CD6BFD" w:rsidP="00650BAC">
      <w:pPr>
        <w:pStyle w:val="Default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650BAC">
        <w:rPr>
          <w:rFonts w:asciiTheme="minorHAnsi" w:hAnsiTheme="minorHAnsi" w:cstheme="minorBidi"/>
          <w:bCs/>
          <w:color w:val="auto"/>
          <w:sz w:val="22"/>
          <w:szCs w:val="22"/>
        </w:rPr>
        <w:lastRenderedPageBreak/>
        <w:t xml:space="preserve">In der Forschung zum frühmittelalterlichen Urkundenwesen Unterscheidung von </w:t>
      </w:r>
      <w:proofErr w:type="spellStart"/>
      <w:r w:rsidRPr="00650BAC">
        <w:rPr>
          <w:rFonts w:asciiTheme="minorHAnsi" w:hAnsiTheme="minorHAnsi" w:cstheme="minorBidi"/>
          <w:bCs/>
          <w:color w:val="auto"/>
          <w:sz w:val="22"/>
          <w:szCs w:val="22"/>
        </w:rPr>
        <w:t>charta</w:t>
      </w:r>
      <w:proofErr w:type="spellEnd"/>
      <w:r w:rsidRPr="00650BA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und </w:t>
      </w:r>
      <w:proofErr w:type="spellStart"/>
      <w:r w:rsidRPr="00650BAC">
        <w:rPr>
          <w:rFonts w:asciiTheme="minorHAnsi" w:hAnsiTheme="minorHAnsi" w:cstheme="minorBidi"/>
          <w:bCs/>
          <w:color w:val="auto"/>
          <w:sz w:val="22"/>
          <w:szCs w:val="22"/>
        </w:rPr>
        <w:t>notitia</w:t>
      </w:r>
      <w:proofErr w:type="spellEnd"/>
      <w:r w:rsidRPr="00650BAC">
        <w:rPr>
          <w:rFonts w:asciiTheme="minorHAnsi" w:hAnsiTheme="minorHAnsi" w:cstheme="minorBidi"/>
          <w:bCs/>
          <w:color w:val="auto"/>
          <w:sz w:val="22"/>
          <w:szCs w:val="22"/>
        </w:rPr>
        <w:t>:</w:t>
      </w:r>
      <w:r w:rsidR="00650BAC" w:rsidRPr="00650BA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</w:t>
      </w:r>
    </w:p>
    <w:p w:rsidR="00650BAC" w:rsidRDefault="00650BAC" w:rsidP="00650BAC">
      <w:pPr>
        <w:rPr>
          <w:bCs/>
        </w:rPr>
      </w:pPr>
      <w:r w:rsidRPr="009533DD">
        <w:rPr>
          <w:b/>
          <w:bCs/>
        </w:rPr>
        <w:t>Charta</w:t>
      </w:r>
      <w:r>
        <w:rPr>
          <w:bCs/>
        </w:rPr>
        <w:t xml:space="preserve"> ist die </w:t>
      </w:r>
      <w:r w:rsidRPr="00650BAC">
        <w:rPr>
          <w:bCs/>
        </w:rPr>
        <w:t>dispositive Geschäftsurkunde, in 1. Person und im Präsens abgefasst</w:t>
      </w:r>
      <w:r>
        <w:rPr>
          <w:bCs/>
        </w:rPr>
        <w:t>.</w:t>
      </w:r>
    </w:p>
    <w:p w:rsidR="00422505" w:rsidRDefault="00650BAC" w:rsidP="00650BAC">
      <w:pPr>
        <w:rPr>
          <w:bCs/>
        </w:rPr>
      </w:pPr>
      <w:proofErr w:type="spellStart"/>
      <w:r w:rsidRPr="009533DD">
        <w:rPr>
          <w:b/>
          <w:bCs/>
        </w:rPr>
        <w:t>Notitia</w:t>
      </w:r>
      <w:proofErr w:type="spellEnd"/>
      <w:r w:rsidRPr="00650BAC">
        <w:rPr>
          <w:bCs/>
        </w:rPr>
        <w:t xml:space="preserve"> dagegen </w:t>
      </w:r>
      <w:r>
        <w:rPr>
          <w:bCs/>
        </w:rPr>
        <w:t xml:space="preserve">ist </w:t>
      </w:r>
      <w:r w:rsidRPr="00650BAC">
        <w:rPr>
          <w:bCs/>
        </w:rPr>
        <w:t xml:space="preserve">die objektive Beweisurkunde, in 3. Person (meist im Perfekt) abgefasst, überliefert typischerweise nicht oft in </w:t>
      </w:r>
      <w:r w:rsidR="00E45D2D">
        <w:rPr>
          <w:bCs/>
        </w:rPr>
        <w:t xml:space="preserve">originalen </w:t>
      </w:r>
      <w:r w:rsidRPr="00650BAC">
        <w:rPr>
          <w:bCs/>
        </w:rPr>
        <w:t>Ausfertigungen (Einzelnotizen), sondern stärker in Traditionsbüchern des Früh- und</w:t>
      </w:r>
      <w:r>
        <w:rPr>
          <w:bCs/>
        </w:rPr>
        <w:t xml:space="preserve"> Hochmittelalters (8.-13. Jh.)</w:t>
      </w:r>
      <w:r w:rsidR="00422505">
        <w:rPr>
          <w:bCs/>
        </w:rPr>
        <w:t xml:space="preserve">. Am dem frühen 13. Jahrhundert setzt sich nördlich der Alpen definitiv die Siegelurkunde als Standardtyp der Privaturkunde durch. </w:t>
      </w:r>
    </w:p>
    <w:p w:rsidR="00422505" w:rsidRDefault="00422505" w:rsidP="00650BAC">
      <w:pPr>
        <w:rPr>
          <w:bCs/>
        </w:rPr>
      </w:pPr>
      <w:r>
        <w:rPr>
          <w:bCs/>
        </w:rPr>
        <w:t xml:space="preserve">Die Eigenhändigkeit der Unterfertigung, ursprünglich Element der </w:t>
      </w:r>
      <w:proofErr w:type="spellStart"/>
      <w:r>
        <w:rPr>
          <w:bCs/>
        </w:rPr>
        <w:t>charta</w:t>
      </w:r>
      <w:proofErr w:type="spellEnd"/>
      <w:r>
        <w:rPr>
          <w:bCs/>
        </w:rPr>
        <w:t>, fällt ab dem 11. Jahrhundert weg, dagegen übernimmt das Siegel die Beglaubigungsfunktion. Bezeichnungen von „Beamten“ der spätantiken Urkundenverwaltung werden in mittelalterliche Begriffe für Urkundenschreiber übernommen: z. B. „</w:t>
      </w:r>
      <w:proofErr w:type="spellStart"/>
      <w:r>
        <w:rPr>
          <w:bCs/>
        </w:rPr>
        <w:t>tabellio</w:t>
      </w:r>
      <w:proofErr w:type="spellEnd"/>
      <w:r>
        <w:rPr>
          <w:bCs/>
        </w:rPr>
        <w:t xml:space="preserve">“ (von den </w:t>
      </w:r>
      <w:proofErr w:type="spellStart"/>
      <w:r>
        <w:rPr>
          <w:bCs/>
        </w:rPr>
        <w:t>tabulae</w:t>
      </w:r>
      <w:proofErr w:type="spellEnd"/>
      <w:r>
        <w:rPr>
          <w:bCs/>
        </w:rPr>
        <w:t xml:space="preserve">), </w:t>
      </w:r>
      <w:proofErr w:type="spellStart"/>
      <w:r>
        <w:rPr>
          <w:bCs/>
        </w:rPr>
        <w:t>notarius</w:t>
      </w:r>
      <w:proofErr w:type="spellEnd"/>
      <w:r>
        <w:rPr>
          <w:bCs/>
        </w:rPr>
        <w:t xml:space="preserve"> (derjenige für de Konzepterstellung zuständige Schreiber, der die Kurzschrift [</w:t>
      </w:r>
      <w:proofErr w:type="spellStart"/>
      <w:r>
        <w:rPr>
          <w:bCs/>
        </w:rPr>
        <w:t>notae</w:t>
      </w:r>
      <w:proofErr w:type="spellEnd"/>
      <w:r>
        <w:rPr>
          <w:bCs/>
        </w:rPr>
        <w:t>] beherrscht).</w:t>
      </w:r>
    </w:p>
    <w:p w:rsidR="00E45D2D" w:rsidRDefault="00E45D2D" w:rsidP="00650BAC">
      <w:pPr>
        <w:rPr>
          <w:bCs/>
        </w:rPr>
      </w:pPr>
      <w:r>
        <w:rPr>
          <w:bCs/>
        </w:rPr>
        <w:t xml:space="preserve">Symbolhandlungen bei der Übergabe der Urkunde im Frühmittelalter: z. B. Schenkung an eine Kirche: Niederlegung der </w:t>
      </w:r>
      <w:proofErr w:type="spellStart"/>
      <w:r>
        <w:rPr>
          <w:bCs/>
        </w:rPr>
        <w:t>charta</w:t>
      </w:r>
      <w:proofErr w:type="spellEnd"/>
      <w:r>
        <w:rPr>
          <w:bCs/>
        </w:rPr>
        <w:t xml:space="preserve"> auf dem Altar.</w:t>
      </w:r>
      <w:r w:rsidR="00422505">
        <w:rPr>
          <w:bCs/>
        </w:rPr>
        <w:t xml:space="preserve"> Als Rest symbolischen Handelns lassen sich evtl. auch Chirographen verstehen, bei denen beiden Vertragspartnern je ein gleichlautend beschrifteter Teil der Vertragsurkunde ausgehändigt wurde.</w:t>
      </w:r>
    </w:p>
    <w:p w:rsidR="00422505" w:rsidRDefault="00422505" w:rsidP="00650BAC">
      <w:pPr>
        <w:rPr>
          <w:bCs/>
        </w:rPr>
      </w:pPr>
      <w:r>
        <w:rPr>
          <w:bCs/>
        </w:rPr>
        <w:t xml:space="preserve">Im Süden Europas bleibt seit der Spätantike das </w:t>
      </w:r>
      <w:r w:rsidRPr="009533DD">
        <w:rPr>
          <w:b/>
          <w:bCs/>
        </w:rPr>
        <w:t>Notariatsinstrument</w:t>
      </w:r>
      <w:r>
        <w:rPr>
          <w:bCs/>
        </w:rPr>
        <w:t xml:space="preserve"> die dominierende Beurkundungsform</w:t>
      </w:r>
      <w:r w:rsidR="009533DD">
        <w:rPr>
          <w:bCs/>
        </w:rPr>
        <w:t xml:space="preserve"> privater Verträge</w:t>
      </w:r>
      <w:r>
        <w:rPr>
          <w:bCs/>
        </w:rPr>
        <w:t>. Notar besitzt kaiserliche oder päpstliche Legitimation</w:t>
      </w:r>
      <w:r w:rsidR="00942799">
        <w:rPr>
          <w:bCs/>
        </w:rPr>
        <w:t xml:space="preserve"> als Garant </w:t>
      </w:r>
      <w:r w:rsidR="006B5B99">
        <w:rPr>
          <w:bCs/>
        </w:rPr>
        <w:t>seiner Glaubwürdigkeit. Kurios</w:t>
      </w:r>
      <w:r w:rsidR="00942799">
        <w:rPr>
          <w:bCs/>
        </w:rPr>
        <w:t xml:space="preserve">: </w:t>
      </w:r>
      <w:proofErr w:type="spellStart"/>
      <w:r w:rsidR="00942799" w:rsidRPr="006B5B99">
        <w:rPr>
          <w:bCs/>
          <w:i/>
        </w:rPr>
        <w:t>artes</w:t>
      </w:r>
      <w:proofErr w:type="spellEnd"/>
      <w:r w:rsidR="00942799" w:rsidRPr="006B5B99">
        <w:rPr>
          <w:bCs/>
          <w:i/>
        </w:rPr>
        <w:t xml:space="preserve"> </w:t>
      </w:r>
      <w:proofErr w:type="spellStart"/>
      <w:r w:rsidR="00942799" w:rsidRPr="006B5B99">
        <w:rPr>
          <w:bCs/>
          <w:i/>
        </w:rPr>
        <w:t>notariae</w:t>
      </w:r>
      <w:proofErr w:type="spellEnd"/>
      <w:r w:rsidR="00942799">
        <w:rPr>
          <w:bCs/>
        </w:rPr>
        <w:t xml:space="preserve"> schreiben vor, dass die vom Notar hergestellten Urkundenausfertigungen auf Pergament </w:t>
      </w:r>
      <w:proofErr w:type="spellStart"/>
      <w:r w:rsidR="00942799">
        <w:rPr>
          <w:bCs/>
        </w:rPr>
        <w:t>mundiert</w:t>
      </w:r>
      <w:proofErr w:type="spellEnd"/>
      <w:r w:rsidR="00942799">
        <w:rPr>
          <w:bCs/>
        </w:rPr>
        <w:t xml:space="preserve"> werden sollen, dagegen dürfen die </w:t>
      </w:r>
      <w:r w:rsidR="006B5B99">
        <w:rPr>
          <w:bCs/>
        </w:rPr>
        <w:t xml:space="preserve">rechtlich relevanten </w:t>
      </w:r>
      <w:proofErr w:type="spellStart"/>
      <w:r w:rsidR="00942799">
        <w:rPr>
          <w:bCs/>
        </w:rPr>
        <w:t>Imbreviaturbücher</w:t>
      </w:r>
      <w:proofErr w:type="spellEnd"/>
      <w:r w:rsidR="00942799">
        <w:rPr>
          <w:bCs/>
        </w:rPr>
        <w:t xml:space="preserve"> der Notare</w:t>
      </w:r>
      <w:r w:rsidR="006B5B99">
        <w:rPr>
          <w:bCs/>
        </w:rPr>
        <w:t xml:space="preserve"> Papierhandschriften sein. Notariatsinstrumente enthalten typischerweise sehr detaillierte Angaben über den Ausstellungsort und können mitunter sogar für baugeschichtliche Fragestellungen relevant sein.</w:t>
      </w:r>
    </w:p>
    <w:p w:rsidR="009533DD" w:rsidRDefault="009533DD" w:rsidP="00650BAC">
      <w:pPr>
        <w:rPr>
          <w:bCs/>
        </w:rPr>
      </w:pPr>
    </w:p>
    <w:p w:rsidR="006B5B99" w:rsidRDefault="006B5B99" w:rsidP="00650BAC">
      <w:pPr>
        <w:rPr>
          <w:bCs/>
        </w:rPr>
      </w:pPr>
      <w:r w:rsidRPr="009533DD">
        <w:rPr>
          <w:b/>
          <w:bCs/>
        </w:rPr>
        <w:t>Kaiser- und Königsurkunden</w:t>
      </w:r>
      <w:r>
        <w:rPr>
          <w:bCs/>
        </w:rPr>
        <w:t xml:space="preserve"> werden meist in Diplome (Rechtssetzungen von dauerhafter Gültigkeit) und Mandate (zeitlich begrenzt gültige Anweisungen) unterschieden.</w:t>
      </w:r>
    </w:p>
    <w:p w:rsidR="006B5B99" w:rsidRPr="006B5B99" w:rsidRDefault="006B5B99" w:rsidP="006B5B99">
      <w:pPr>
        <w:autoSpaceDE w:val="0"/>
        <w:autoSpaceDN w:val="0"/>
        <w:adjustRightInd w:val="0"/>
        <w:spacing w:before="10" w:after="0" w:line="240" w:lineRule="auto"/>
        <w:ind w:right="2216"/>
        <w:rPr>
          <w:bCs/>
        </w:rPr>
      </w:pPr>
      <w:r w:rsidRPr="006B5B99">
        <w:rPr>
          <w:bCs/>
        </w:rPr>
        <w:t xml:space="preserve">Formularteile von (Kaiser- und Königs-) Urkunden (Idealschema): </w:t>
      </w:r>
    </w:p>
    <w:p w:rsidR="006B5B99" w:rsidRPr="006B5B99" w:rsidRDefault="006B5B99" w:rsidP="006B5B99">
      <w:pPr>
        <w:autoSpaceDE w:val="0"/>
        <w:autoSpaceDN w:val="0"/>
        <w:adjustRightInd w:val="0"/>
        <w:spacing w:before="10" w:after="0" w:line="240" w:lineRule="auto"/>
        <w:ind w:right="3121"/>
        <w:rPr>
          <w:bCs/>
        </w:rPr>
      </w:pPr>
      <w:r w:rsidRPr="006B5B99">
        <w:rPr>
          <w:bCs/>
        </w:rPr>
        <w:t xml:space="preserve">Protokoll: </w:t>
      </w:r>
      <w:proofErr w:type="spellStart"/>
      <w:r w:rsidRPr="006B5B99">
        <w:rPr>
          <w:bCs/>
        </w:rPr>
        <w:t>Invocatio</w:t>
      </w:r>
      <w:proofErr w:type="spellEnd"/>
      <w:r>
        <w:rPr>
          <w:bCs/>
        </w:rPr>
        <w:t xml:space="preserve"> (symbolische I.) – </w:t>
      </w:r>
      <w:proofErr w:type="spellStart"/>
      <w:r>
        <w:rPr>
          <w:bCs/>
        </w:rPr>
        <w:t>Intitulatio</w:t>
      </w:r>
      <w:proofErr w:type="spellEnd"/>
      <w:r>
        <w:rPr>
          <w:bCs/>
        </w:rPr>
        <w:t xml:space="preserve"> </w:t>
      </w:r>
      <w:r w:rsidRPr="006B5B99">
        <w:rPr>
          <w:bCs/>
        </w:rPr>
        <w:t xml:space="preserve">(Devotionsformel) – </w:t>
      </w:r>
      <w:proofErr w:type="spellStart"/>
      <w:r w:rsidRPr="006B5B99">
        <w:rPr>
          <w:bCs/>
        </w:rPr>
        <w:t>Inscriptio</w:t>
      </w:r>
      <w:proofErr w:type="spellEnd"/>
      <w:r w:rsidRPr="006B5B99">
        <w:rPr>
          <w:bCs/>
        </w:rPr>
        <w:t xml:space="preserve"> (Adresse) </w:t>
      </w:r>
    </w:p>
    <w:p w:rsidR="006B5B99" w:rsidRPr="006B5B99" w:rsidRDefault="006B5B99" w:rsidP="006B5B99">
      <w:pPr>
        <w:autoSpaceDE w:val="0"/>
        <w:autoSpaceDN w:val="0"/>
        <w:adjustRightInd w:val="0"/>
        <w:spacing w:before="10" w:after="0" w:line="240" w:lineRule="auto"/>
        <w:ind w:right="783"/>
        <w:rPr>
          <w:bCs/>
        </w:rPr>
      </w:pPr>
      <w:r w:rsidRPr="006B5B99">
        <w:rPr>
          <w:bCs/>
        </w:rPr>
        <w:t xml:space="preserve">Kontext: </w:t>
      </w:r>
      <w:proofErr w:type="spellStart"/>
      <w:r w:rsidRPr="006B5B99">
        <w:rPr>
          <w:bCs/>
        </w:rPr>
        <w:t>Arenga</w:t>
      </w:r>
      <w:proofErr w:type="spellEnd"/>
      <w:r w:rsidRPr="006B5B99">
        <w:rPr>
          <w:bCs/>
        </w:rPr>
        <w:t xml:space="preserve"> – </w:t>
      </w:r>
      <w:proofErr w:type="spellStart"/>
      <w:r w:rsidRPr="006B5B99">
        <w:rPr>
          <w:bCs/>
        </w:rPr>
        <w:t>Promulgatio</w:t>
      </w:r>
      <w:proofErr w:type="spellEnd"/>
      <w:r w:rsidRPr="006B5B99">
        <w:rPr>
          <w:bCs/>
        </w:rPr>
        <w:t xml:space="preserve"> (</w:t>
      </w:r>
      <w:proofErr w:type="spellStart"/>
      <w:r w:rsidRPr="006B5B99">
        <w:rPr>
          <w:bCs/>
        </w:rPr>
        <w:t>Publicatio</w:t>
      </w:r>
      <w:proofErr w:type="spellEnd"/>
      <w:r w:rsidRPr="006B5B99">
        <w:rPr>
          <w:bCs/>
        </w:rPr>
        <w:t xml:space="preserve">) – </w:t>
      </w:r>
      <w:proofErr w:type="spellStart"/>
      <w:r w:rsidRPr="006B5B99">
        <w:rPr>
          <w:bCs/>
        </w:rPr>
        <w:t>Narratio</w:t>
      </w:r>
      <w:proofErr w:type="spellEnd"/>
      <w:r w:rsidRPr="006B5B99">
        <w:rPr>
          <w:bCs/>
        </w:rPr>
        <w:t xml:space="preserve"> (inkl. </w:t>
      </w:r>
      <w:proofErr w:type="spellStart"/>
      <w:r w:rsidRPr="006B5B99">
        <w:rPr>
          <w:bCs/>
        </w:rPr>
        <w:t>Petitio</w:t>
      </w:r>
      <w:proofErr w:type="spellEnd"/>
      <w:r w:rsidRPr="006B5B99">
        <w:rPr>
          <w:bCs/>
        </w:rPr>
        <w:t xml:space="preserve">) – </w:t>
      </w:r>
      <w:proofErr w:type="spellStart"/>
      <w:r w:rsidRPr="006B5B99">
        <w:rPr>
          <w:bCs/>
        </w:rPr>
        <w:t>Dispositio</w:t>
      </w:r>
      <w:proofErr w:type="spellEnd"/>
      <w:r w:rsidRPr="006B5B99">
        <w:rPr>
          <w:bCs/>
        </w:rPr>
        <w:t xml:space="preserve"> (Pertinenzformel) – </w:t>
      </w:r>
      <w:proofErr w:type="spellStart"/>
      <w:r w:rsidRPr="006B5B99">
        <w:rPr>
          <w:bCs/>
        </w:rPr>
        <w:t>Sanctio</w:t>
      </w:r>
      <w:proofErr w:type="spellEnd"/>
      <w:r w:rsidRPr="006B5B99">
        <w:rPr>
          <w:bCs/>
        </w:rPr>
        <w:t xml:space="preserve"> (</w:t>
      </w:r>
      <w:proofErr w:type="spellStart"/>
      <w:r w:rsidRPr="006B5B99">
        <w:rPr>
          <w:bCs/>
        </w:rPr>
        <w:t>Pönformel</w:t>
      </w:r>
      <w:proofErr w:type="spellEnd"/>
      <w:r w:rsidRPr="006B5B99">
        <w:rPr>
          <w:bCs/>
        </w:rPr>
        <w:t xml:space="preserve">) – </w:t>
      </w:r>
      <w:proofErr w:type="spellStart"/>
      <w:r w:rsidRPr="006B5B99">
        <w:rPr>
          <w:bCs/>
        </w:rPr>
        <w:t>Corroboratio</w:t>
      </w:r>
      <w:proofErr w:type="spellEnd"/>
      <w:r w:rsidRPr="006B5B99">
        <w:rPr>
          <w:bCs/>
        </w:rPr>
        <w:t xml:space="preserve"> (Siegelankündigung) – Zeugen </w:t>
      </w:r>
    </w:p>
    <w:p w:rsidR="006B5B99" w:rsidRDefault="006B5B99" w:rsidP="006B5B99">
      <w:pPr>
        <w:rPr>
          <w:bCs/>
        </w:rPr>
      </w:pPr>
      <w:proofErr w:type="spellStart"/>
      <w:r w:rsidRPr="006B5B99">
        <w:rPr>
          <w:bCs/>
        </w:rPr>
        <w:t>Eschatokoll</w:t>
      </w:r>
      <w:proofErr w:type="spellEnd"/>
      <w:r w:rsidRPr="006B5B99">
        <w:rPr>
          <w:bCs/>
        </w:rPr>
        <w:t xml:space="preserve">: </w:t>
      </w:r>
      <w:proofErr w:type="spellStart"/>
      <w:r w:rsidRPr="006B5B99">
        <w:rPr>
          <w:bCs/>
        </w:rPr>
        <w:t>Signumzeile</w:t>
      </w:r>
      <w:proofErr w:type="spellEnd"/>
      <w:r w:rsidRPr="006B5B99">
        <w:rPr>
          <w:bCs/>
        </w:rPr>
        <w:t xml:space="preserve"> (Unterfertigung, Monogramm) – </w:t>
      </w:r>
      <w:proofErr w:type="spellStart"/>
      <w:r w:rsidRPr="006B5B99">
        <w:rPr>
          <w:bCs/>
        </w:rPr>
        <w:t>Rekognitionszeile</w:t>
      </w:r>
      <w:proofErr w:type="spellEnd"/>
      <w:r w:rsidRPr="006B5B99">
        <w:rPr>
          <w:bCs/>
        </w:rPr>
        <w:t xml:space="preserve"> (Beizeichen) – Datum/</w:t>
      </w:r>
      <w:proofErr w:type="spellStart"/>
      <w:r w:rsidRPr="006B5B99">
        <w:rPr>
          <w:bCs/>
        </w:rPr>
        <w:t>Actum</w:t>
      </w:r>
      <w:proofErr w:type="spellEnd"/>
      <w:r w:rsidRPr="006B5B99">
        <w:rPr>
          <w:bCs/>
        </w:rPr>
        <w:t xml:space="preserve"> </w:t>
      </w:r>
      <w:r>
        <w:rPr>
          <w:bCs/>
        </w:rPr>
        <w:t>–</w:t>
      </w:r>
      <w:r w:rsidRPr="006B5B99">
        <w:rPr>
          <w:bCs/>
        </w:rPr>
        <w:t xml:space="preserve"> </w:t>
      </w:r>
      <w:proofErr w:type="spellStart"/>
      <w:r w:rsidRPr="006B5B99">
        <w:rPr>
          <w:bCs/>
        </w:rPr>
        <w:t>Apprecatio</w:t>
      </w:r>
      <w:proofErr w:type="spellEnd"/>
    </w:p>
    <w:p w:rsidR="006B5B99" w:rsidRPr="006B5B99" w:rsidRDefault="006B5B99" w:rsidP="006B5B99">
      <w:pPr>
        <w:rPr>
          <w:bCs/>
        </w:rPr>
      </w:pPr>
      <w:r>
        <w:rPr>
          <w:bCs/>
        </w:rPr>
        <w:t xml:space="preserve">Ab dem 13. Jh. ersetzen Initialen die auszeichnungsschriftliche Funktion der </w:t>
      </w:r>
      <w:proofErr w:type="spellStart"/>
      <w:r>
        <w:rPr>
          <w:bCs/>
        </w:rPr>
        <w:t>Elongata</w:t>
      </w:r>
      <w:proofErr w:type="spellEnd"/>
      <w:r>
        <w:rPr>
          <w:bCs/>
        </w:rPr>
        <w:t xml:space="preserve"> der ersten Zeile der Diplome.</w:t>
      </w:r>
    </w:p>
    <w:p w:rsidR="006B5B99" w:rsidRDefault="006B5B99" w:rsidP="006B5B99">
      <w:pPr>
        <w:rPr>
          <w:bCs/>
        </w:rPr>
      </w:pPr>
      <w:r w:rsidRPr="006B5B99">
        <w:rPr>
          <w:bCs/>
        </w:rPr>
        <w:t>Problematischer Begriff der „Kanzlei“ (</w:t>
      </w:r>
      <w:proofErr w:type="spellStart"/>
      <w:r w:rsidRPr="006B5B99">
        <w:rPr>
          <w:bCs/>
        </w:rPr>
        <w:t>cancellaria</w:t>
      </w:r>
      <w:proofErr w:type="spellEnd"/>
      <w:r w:rsidRPr="006B5B99">
        <w:rPr>
          <w:bCs/>
        </w:rPr>
        <w:t xml:space="preserve">) als Beurkundungsstelle der Kaiser und Könige: Verabredungsbegriff der Diplomatik seit </w:t>
      </w:r>
      <w:r>
        <w:rPr>
          <w:bCs/>
        </w:rPr>
        <w:t xml:space="preserve">Theodor von </w:t>
      </w:r>
      <w:proofErr w:type="spellStart"/>
      <w:r w:rsidRPr="006B5B99">
        <w:rPr>
          <w:bCs/>
        </w:rPr>
        <w:t>Sickel</w:t>
      </w:r>
      <w:proofErr w:type="spellEnd"/>
      <w:r w:rsidRPr="006B5B99">
        <w:rPr>
          <w:bCs/>
        </w:rPr>
        <w:t>, dreiteilige Struktur, tatsächlich von einem anstaltsstaatlichen Modell, nicht von einem Personenverband ausgehend</w:t>
      </w:r>
      <w:r>
        <w:rPr>
          <w:bCs/>
        </w:rPr>
        <w:t>.</w:t>
      </w:r>
    </w:p>
    <w:p w:rsidR="006B5B99" w:rsidRPr="006B5B99" w:rsidRDefault="006B5B99" w:rsidP="006B5B99">
      <w:pPr>
        <w:autoSpaceDE w:val="0"/>
        <w:autoSpaceDN w:val="0"/>
        <w:adjustRightInd w:val="0"/>
        <w:spacing w:before="10" w:after="0" w:line="240" w:lineRule="auto"/>
        <w:ind w:right="3946"/>
        <w:rPr>
          <w:bCs/>
        </w:rPr>
      </w:pPr>
      <w:r w:rsidRPr="006B5B99">
        <w:rPr>
          <w:bCs/>
        </w:rPr>
        <w:t xml:space="preserve">Idealer Ablauf des Geschäftsgangs in der Reichskanzlei: </w:t>
      </w:r>
    </w:p>
    <w:p w:rsidR="006B5B99" w:rsidRDefault="006B5B99" w:rsidP="006B5B99">
      <w:pPr>
        <w:rPr>
          <w:bCs/>
        </w:rPr>
      </w:pPr>
      <w:r w:rsidRPr="006B5B99">
        <w:rPr>
          <w:bCs/>
        </w:rPr>
        <w:t xml:space="preserve">Vollzug des Rechtsgeschäfts vor dem Herrscher – Beurkundungsbefehl (Petenten, Intervenienten) – Konzepterstellung und Korrektur – </w:t>
      </w:r>
      <w:proofErr w:type="spellStart"/>
      <w:r w:rsidRPr="006B5B99">
        <w:rPr>
          <w:bCs/>
        </w:rPr>
        <w:t>Mundierung</w:t>
      </w:r>
      <w:proofErr w:type="spellEnd"/>
      <w:r w:rsidRPr="006B5B99">
        <w:rPr>
          <w:bCs/>
        </w:rPr>
        <w:t xml:space="preserve"> – Vollziehung – Beglaubigung – Registrierung (Taxierung) – Aushändigung</w:t>
      </w:r>
    </w:p>
    <w:p w:rsidR="00E22FD4" w:rsidRDefault="00E22FD4" w:rsidP="006B5B99">
      <w:pPr>
        <w:rPr>
          <w:bCs/>
        </w:rPr>
      </w:pPr>
      <w:r>
        <w:rPr>
          <w:bCs/>
        </w:rPr>
        <w:t xml:space="preserve">Als Quelle für kanzleigeschichtliche Forschungen kommen im Spätmittelalter zunehmend Kanzleivermerke auf der </w:t>
      </w:r>
      <w:proofErr w:type="spellStart"/>
      <w:r>
        <w:rPr>
          <w:bCs/>
        </w:rPr>
        <w:t>Plica</w:t>
      </w:r>
      <w:proofErr w:type="spellEnd"/>
      <w:r>
        <w:rPr>
          <w:bCs/>
        </w:rPr>
        <w:t xml:space="preserve"> der Urkunden auf.</w:t>
      </w: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11431"/>
        <w:rPr>
          <w:bCs/>
        </w:rPr>
      </w:pP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376"/>
        <w:rPr>
          <w:b/>
          <w:bCs/>
        </w:rPr>
      </w:pPr>
      <w:r w:rsidRPr="009533DD">
        <w:rPr>
          <w:b/>
          <w:bCs/>
        </w:rPr>
        <w:t>Papsturkunden:</w:t>
      </w: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376"/>
        <w:rPr>
          <w:bCs/>
        </w:rPr>
      </w:pPr>
      <w:r w:rsidRPr="009533DD">
        <w:rPr>
          <w:bCs/>
        </w:rPr>
        <w:t xml:space="preserve">Päpstliche Kanzlei ist der größte Urkundenaussteller des Mittelalters; Ausstoß nimmt exponentiell zu: im späten 15. Jh. werden in einem Jahr so viele </w:t>
      </w:r>
      <w:proofErr w:type="spellStart"/>
      <w:r w:rsidRPr="009533DD">
        <w:rPr>
          <w:bCs/>
        </w:rPr>
        <w:t>Urkk</w:t>
      </w:r>
      <w:proofErr w:type="spellEnd"/>
      <w:r w:rsidRPr="009533DD">
        <w:rPr>
          <w:bCs/>
        </w:rPr>
        <w:t xml:space="preserve">. ausgestellt wie bis ca. 1200; insgesamt bis heute geschätzt ca. 30.000.000 Papsturkunden ausgestellt. </w:t>
      </w: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386"/>
        <w:rPr>
          <w:bCs/>
        </w:rPr>
      </w:pPr>
      <w:r w:rsidRPr="009533DD">
        <w:rPr>
          <w:bCs/>
        </w:rPr>
        <w:t xml:space="preserve">Ab 1007 allmählich Übergang zu Pergament als Beschreibstoff (Papyrus ab 1057 nicht mehr verwendet) </w:t>
      </w:r>
    </w:p>
    <w:p w:rsid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1269"/>
        <w:rPr>
          <w:bCs/>
        </w:rPr>
      </w:pPr>
      <w:r w:rsidRPr="009533DD">
        <w:rPr>
          <w:bCs/>
        </w:rPr>
        <w:t xml:space="preserve">Unterscheidung von Privilegien (einfache/feierliche) und </w:t>
      </w:r>
      <w:proofErr w:type="spellStart"/>
      <w:r w:rsidRPr="009533DD">
        <w:rPr>
          <w:bCs/>
          <w:i/>
        </w:rPr>
        <w:t>litterae</w:t>
      </w:r>
      <w:proofErr w:type="spellEnd"/>
      <w:r w:rsidRPr="009533DD">
        <w:rPr>
          <w:bCs/>
        </w:rPr>
        <w:t xml:space="preserve"> (sowie Bullen, Breven, Motuproprio) </w:t>
      </w: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1269"/>
        <w:rPr>
          <w:bCs/>
        </w:rPr>
      </w:pPr>
      <w:r>
        <w:rPr>
          <w:bCs/>
        </w:rPr>
        <w:t>Aufbau einer Papsturkunde</w:t>
      </w:r>
      <w:r w:rsidRPr="009533DD">
        <w:rPr>
          <w:bCs/>
        </w:rPr>
        <w:t xml:space="preserve">: </w:t>
      </w: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276"/>
        <w:rPr>
          <w:bCs/>
        </w:rPr>
      </w:pPr>
      <w:r>
        <w:rPr>
          <w:bCs/>
        </w:rPr>
        <w:t xml:space="preserve">Protokoll: </w:t>
      </w:r>
      <w:proofErr w:type="spellStart"/>
      <w:r w:rsidRPr="009533DD">
        <w:rPr>
          <w:bCs/>
        </w:rPr>
        <w:t>Intitulatio</w:t>
      </w:r>
      <w:proofErr w:type="spellEnd"/>
      <w:r w:rsidRPr="009533DD">
        <w:rPr>
          <w:bCs/>
        </w:rPr>
        <w:t xml:space="preserve"> – </w:t>
      </w:r>
      <w:proofErr w:type="spellStart"/>
      <w:r w:rsidRPr="009533DD">
        <w:rPr>
          <w:bCs/>
        </w:rPr>
        <w:t>Inscriptio</w:t>
      </w:r>
      <w:proofErr w:type="spellEnd"/>
      <w:r w:rsidRPr="009533DD">
        <w:rPr>
          <w:bCs/>
        </w:rPr>
        <w:t xml:space="preserve"> (mit Nennung des Empfängers im Dativ) – </w:t>
      </w:r>
      <w:proofErr w:type="spellStart"/>
      <w:r w:rsidRPr="009533DD">
        <w:rPr>
          <w:bCs/>
        </w:rPr>
        <w:t>Salutatio</w:t>
      </w:r>
      <w:proofErr w:type="spellEnd"/>
      <w:r w:rsidRPr="009533DD">
        <w:rPr>
          <w:bCs/>
        </w:rPr>
        <w:t xml:space="preserve"> (in </w:t>
      </w:r>
      <w:proofErr w:type="spellStart"/>
      <w:r w:rsidRPr="009533DD">
        <w:rPr>
          <w:bCs/>
        </w:rPr>
        <w:t>Litterae</w:t>
      </w:r>
      <w:proofErr w:type="spellEnd"/>
      <w:r w:rsidRPr="009533DD">
        <w:rPr>
          <w:bCs/>
        </w:rPr>
        <w:t xml:space="preserve"> und Breven: </w:t>
      </w:r>
      <w:proofErr w:type="spellStart"/>
      <w:r w:rsidRPr="009533DD">
        <w:rPr>
          <w:bCs/>
        </w:rPr>
        <w:t>salt</w:t>
      </w:r>
      <w:proofErr w:type="spellEnd"/>
      <w:r w:rsidRPr="009533DD">
        <w:rPr>
          <w:bCs/>
        </w:rPr>
        <w:t xml:space="preserve"> et </w:t>
      </w:r>
      <w:proofErr w:type="spellStart"/>
      <w:r w:rsidRPr="009533DD">
        <w:rPr>
          <w:bCs/>
        </w:rPr>
        <w:t>aplicam</w:t>
      </w:r>
      <w:proofErr w:type="spellEnd"/>
      <w:r w:rsidRPr="009533DD">
        <w:rPr>
          <w:bCs/>
        </w:rPr>
        <w:t xml:space="preserve"> </w:t>
      </w:r>
      <w:proofErr w:type="spellStart"/>
      <w:r w:rsidRPr="009533DD">
        <w:rPr>
          <w:bCs/>
        </w:rPr>
        <w:t>ben</w:t>
      </w:r>
      <w:proofErr w:type="spellEnd"/>
      <w:r w:rsidRPr="009533DD">
        <w:rPr>
          <w:bCs/>
        </w:rPr>
        <w:t xml:space="preserve">) bzw. Verewigungsformel: Privilegien: in </w:t>
      </w:r>
      <w:proofErr w:type="spellStart"/>
      <w:r w:rsidRPr="009533DD">
        <w:rPr>
          <w:bCs/>
        </w:rPr>
        <w:t>perpetuum</w:t>
      </w:r>
      <w:proofErr w:type="spellEnd"/>
      <w:r w:rsidRPr="009533DD">
        <w:rPr>
          <w:bCs/>
        </w:rPr>
        <w:t xml:space="preserve">; Bullen: ad </w:t>
      </w:r>
      <w:proofErr w:type="spellStart"/>
      <w:r w:rsidRPr="009533DD">
        <w:rPr>
          <w:bCs/>
        </w:rPr>
        <w:t>futuram</w:t>
      </w:r>
      <w:proofErr w:type="spellEnd"/>
      <w:r w:rsidRPr="009533DD">
        <w:rPr>
          <w:bCs/>
        </w:rPr>
        <w:t xml:space="preserve"> </w:t>
      </w:r>
      <w:proofErr w:type="spellStart"/>
      <w:r w:rsidRPr="009533DD">
        <w:rPr>
          <w:bCs/>
        </w:rPr>
        <w:t>rei</w:t>
      </w:r>
      <w:proofErr w:type="spellEnd"/>
      <w:r w:rsidRPr="009533DD">
        <w:rPr>
          <w:bCs/>
        </w:rPr>
        <w:t xml:space="preserve"> </w:t>
      </w:r>
      <w:proofErr w:type="spellStart"/>
      <w:r w:rsidRPr="009533DD">
        <w:rPr>
          <w:bCs/>
        </w:rPr>
        <w:t>memoriam</w:t>
      </w:r>
      <w:proofErr w:type="spellEnd"/>
      <w:r w:rsidRPr="009533DD">
        <w:rPr>
          <w:bCs/>
        </w:rPr>
        <w:t xml:space="preserve">) </w:t>
      </w: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1624"/>
        <w:rPr>
          <w:bCs/>
        </w:rPr>
      </w:pPr>
      <w:r>
        <w:rPr>
          <w:bCs/>
        </w:rPr>
        <w:t xml:space="preserve">Kontext: </w:t>
      </w:r>
      <w:proofErr w:type="spellStart"/>
      <w:r w:rsidRPr="009533DD">
        <w:rPr>
          <w:bCs/>
        </w:rPr>
        <w:t>Arenga</w:t>
      </w:r>
      <w:proofErr w:type="spellEnd"/>
      <w:r w:rsidRPr="009533DD">
        <w:rPr>
          <w:bCs/>
        </w:rPr>
        <w:t xml:space="preserve"> – </w:t>
      </w:r>
      <w:proofErr w:type="spellStart"/>
      <w:r w:rsidRPr="009533DD">
        <w:rPr>
          <w:bCs/>
        </w:rPr>
        <w:t>Narratio</w:t>
      </w:r>
      <w:proofErr w:type="spellEnd"/>
      <w:r w:rsidRPr="009533DD">
        <w:rPr>
          <w:bCs/>
        </w:rPr>
        <w:t xml:space="preserve"> – </w:t>
      </w:r>
      <w:proofErr w:type="spellStart"/>
      <w:r w:rsidRPr="009533DD">
        <w:rPr>
          <w:bCs/>
        </w:rPr>
        <w:t>Petitio</w:t>
      </w:r>
      <w:proofErr w:type="spellEnd"/>
      <w:r w:rsidRPr="009533DD">
        <w:rPr>
          <w:bCs/>
        </w:rPr>
        <w:t xml:space="preserve"> – </w:t>
      </w:r>
      <w:proofErr w:type="spellStart"/>
      <w:r w:rsidRPr="009533DD">
        <w:rPr>
          <w:bCs/>
        </w:rPr>
        <w:t>Dispositio</w:t>
      </w:r>
      <w:proofErr w:type="spellEnd"/>
      <w:r w:rsidRPr="009533DD">
        <w:rPr>
          <w:bCs/>
        </w:rPr>
        <w:t xml:space="preserve"> – Non</w:t>
      </w:r>
      <w:r>
        <w:rPr>
          <w:bCs/>
        </w:rPr>
        <w:t xml:space="preserve">-obstantibus-Formel – </w:t>
      </w:r>
      <w:proofErr w:type="spellStart"/>
      <w:r>
        <w:rPr>
          <w:bCs/>
        </w:rPr>
        <w:t>Sanctio</w:t>
      </w:r>
      <w:proofErr w:type="spellEnd"/>
      <w:r>
        <w:rPr>
          <w:bCs/>
        </w:rPr>
        <w:t xml:space="preserve"> – </w:t>
      </w:r>
      <w:proofErr w:type="spellStart"/>
      <w:r w:rsidRPr="009533DD">
        <w:rPr>
          <w:bCs/>
        </w:rPr>
        <w:t>Apprecatio</w:t>
      </w:r>
      <w:proofErr w:type="spellEnd"/>
      <w:r w:rsidRPr="009533DD">
        <w:rPr>
          <w:bCs/>
        </w:rPr>
        <w:t xml:space="preserve"> (dreifaches Amen bei feierlichen Privilegien) </w:t>
      </w:r>
    </w:p>
    <w:p w:rsidR="009533DD" w:rsidRDefault="009533DD" w:rsidP="009533DD">
      <w:pPr>
        <w:rPr>
          <w:bCs/>
        </w:rPr>
      </w:pPr>
      <w:proofErr w:type="spellStart"/>
      <w:r>
        <w:rPr>
          <w:bCs/>
        </w:rPr>
        <w:t>Eschatokoll</w:t>
      </w:r>
      <w:proofErr w:type="spellEnd"/>
      <w:r>
        <w:rPr>
          <w:bCs/>
        </w:rPr>
        <w:t xml:space="preserve">: </w:t>
      </w:r>
      <w:proofErr w:type="spellStart"/>
      <w:r w:rsidRPr="009533DD">
        <w:rPr>
          <w:bCs/>
        </w:rPr>
        <w:t>Rota</w:t>
      </w:r>
      <w:proofErr w:type="spellEnd"/>
      <w:r w:rsidRPr="009533DD">
        <w:rPr>
          <w:bCs/>
        </w:rPr>
        <w:t xml:space="preserve">, </w:t>
      </w:r>
      <w:proofErr w:type="spellStart"/>
      <w:r w:rsidRPr="009533DD">
        <w:rPr>
          <w:bCs/>
        </w:rPr>
        <w:t>Benevalete</w:t>
      </w:r>
      <w:proofErr w:type="spellEnd"/>
      <w:r w:rsidRPr="009533DD">
        <w:rPr>
          <w:bCs/>
        </w:rPr>
        <w:t xml:space="preserve">, Komma (2. H. 11. </w:t>
      </w:r>
      <w:proofErr w:type="spellStart"/>
      <w:r w:rsidRPr="009533DD">
        <w:rPr>
          <w:bCs/>
        </w:rPr>
        <w:t>Jh</w:t>
      </w:r>
      <w:proofErr w:type="spellEnd"/>
      <w:r w:rsidRPr="009533DD">
        <w:rPr>
          <w:bCs/>
        </w:rPr>
        <w:t>) – Unterschriften in drei Kolumnen – Datierung (feierliche Privilegien mit großer Datierung [</w:t>
      </w:r>
      <w:proofErr w:type="spellStart"/>
      <w:r w:rsidRPr="009533DD">
        <w:rPr>
          <w:bCs/>
          <w:i/>
        </w:rPr>
        <w:t>datum</w:t>
      </w:r>
      <w:proofErr w:type="spellEnd"/>
      <w:r w:rsidRPr="009533DD">
        <w:rPr>
          <w:bCs/>
          <w:i/>
        </w:rPr>
        <w:t xml:space="preserve"> per </w:t>
      </w:r>
      <w:proofErr w:type="spellStart"/>
      <w:r w:rsidRPr="009533DD">
        <w:rPr>
          <w:bCs/>
          <w:i/>
        </w:rPr>
        <w:t>manus</w:t>
      </w:r>
      <w:proofErr w:type="spellEnd"/>
      <w:r w:rsidRPr="009533DD">
        <w:rPr>
          <w:bCs/>
        </w:rPr>
        <w:t xml:space="preserve">-Formel, Indiktion, Inkarnationsjahr], sonst Ort, Tag, </w:t>
      </w:r>
      <w:proofErr w:type="spellStart"/>
      <w:r w:rsidRPr="009533DD">
        <w:rPr>
          <w:bCs/>
        </w:rPr>
        <w:t>Pontifikatsjahr</w:t>
      </w:r>
      <w:proofErr w:type="spellEnd"/>
      <w:r w:rsidRPr="009533DD">
        <w:rPr>
          <w:bCs/>
        </w:rPr>
        <w:t>)</w:t>
      </w: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ind w:right="1130"/>
        <w:rPr>
          <w:bCs/>
        </w:rPr>
      </w:pPr>
      <w:proofErr w:type="spellStart"/>
      <w:r w:rsidRPr="009533DD">
        <w:rPr>
          <w:bCs/>
        </w:rPr>
        <w:t>Rota</w:t>
      </w:r>
      <w:proofErr w:type="spellEnd"/>
      <w:r w:rsidRPr="009533DD">
        <w:rPr>
          <w:bCs/>
        </w:rPr>
        <w:t xml:space="preserve"> und (eigenhändige) Unterschriften des Kardinalkollegs: seit </w:t>
      </w:r>
      <w:proofErr w:type="spellStart"/>
      <w:r w:rsidRPr="009533DD">
        <w:rPr>
          <w:bCs/>
        </w:rPr>
        <w:t>Paschal</w:t>
      </w:r>
      <w:proofErr w:type="spellEnd"/>
      <w:r w:rsidRPr="009533DD">
        <w:rPr>
          <w:bCs/>
        </w:rPr>
        <w:t xml:space="preserve"> II. (um 1100) </w:t>
      </w:r>
      <w:r>
        <w:rPr>
          <w:bCs/>
        </w:rPr>
        <w:t xml:space="preserve">tritt </w:t>
      </w:r>
      <w:r w:rsidRPr="009533DD">
        <w:rPr>
          <w:bCs/>
        </w:rPr>
        <w:t xml:space="preserve">regelmäßig </w:t>
      </w:r>
      <w:r>
        <w:rPr>
          <w:bCs/>
        </w:rPr>
        <w:t xml:space="preserve">die </w:t>
      </w:r>
      <w:proofErr w:type="spellStart"/>
      <w:r w:rsidRPr="009533DD">
        <w:rPr>
          <w:bCs/>
        </w:rPr>
        <w:t>Rota</w:t>
      </w:r>
      <w:proofErr w:type="spellEnd"/>
      <w:r w:rsidRPr="009533DD">
        <w:rPr>
          <w:bCs/>
        </w:rPr>
        <w:t xml:space="preserve"> </w:t>
      </w:r>
      <w:r>
        <w:rPr>
          <w:bCs/>
        </w:rPr>
        <w:t xml:space="preserve">auf </w:t>
      </w:r>
      <w:r w:rsidRPr="009533DD">
        <w:rPr>
          <w:bCs/>
        </w:rPr>
        <w:t xml:space="preserve">(erstmals 1049 belegt) mit Apostel- und Papstnamen sowie Devise. </w:t>
      </w:r>
    </w:p>
    <w:p w:rsidR="009533DD" w:rsidRDefault="009533DD" w:rsidP="009533DD">
      <w:pPr>
        <w:autoSpaceDE w:val="0"/>
        <w:autoSpaceDN w:val="0"/>
        <w:adjustRightInd w:val="0"/>
        <w:spacing w:before="10" w:after="0" w:line="240" w:lineRule="auto"/>
        <w:rPr>
          <w:bCs/>
        </w:rPr>
      </w:pPr>
      <w:r w:rsidRPr="009533DD">
        <w:rPr>
          <w:bCs/>
        </w:rPr>
        <w:t xml:space="preserve">Urkundenkritik in der päpstlichen Kanzlei </w:t>
      </w:r>
      <w:r>
        <w:rPr>
          <w:bCs/>
          <w:i/>
        </w:rPr>
        <w:t xml:space="preserve">in </w:t>
      </w:r>
      <w:proofErr w:type="spellStart"/>
      <w:r>
        <w:rPr>
          <w:bCs/>
          <w:i/>
        </w:rPr>
        <w:t>bulla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filo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charta</w:t>
      </w:r>
      <w:proofErr w:type="spellEnd"/>
      <w:r>
        <w:rPr>
          <w:bCs/>
          <w:i/>
        </w:rPr>
        <w:t xml:space="preserve"> et </w:t>
      </w:r>
      <w:proofErr w:type="spellStart"/>
      <w:r w:rsidRPr="009533DD">
        <w:rPr>
          <w:bCs/>
          <w:i/>
        </w:rPr>
        <w:t>stilo</w:t>
      </w:r>
      <w:proofErr w:type="spellEnd"/>
      <w:r w:rsidRPr="009533DD">
        <w:rPr>
          <w:bCs/>
        </w:rPr>
        <w:t xml:space="preserve"> (Dekretale </w:t>
      </w:r>
      <w:proofErr w:type="spellStart"/>
      <w:r w:rsidRPr="009533DD">
        <w:rPr>
          <w:bCs/>
        </w:rPr>
        <w:t>Innocenz</w:t>
      </w:r>
      <w:proofErr w:type="spellEnd"/>
      <w:r w:rsidRPr="009533DD">
        <w:rPr>
          <w:bCs/>
        </w:rPr>
        <w:t xml:space="preserve">‘ III.) </w:t>
      </w:r>
      <w:r>
        <w:rPr>
          <w:bCs/>
        </w:rPr>
        <w:t xml:space="preserve"> </w:t>
      </w: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rPr>
          <w:bCs/>
        </w:rPr>
      </w:pPr>
      <w:r w:rsidRPr="009533DD">
        <w:rPr>
          <w:bCs/>
        </w:rPr>
        <w:t xml:space="preserve">Im 13. Jh. Abnahme der Privilegien, Aufschwung der </w:t>
      </w:r>
      <w:proofErr w:type="spellStart"/>
      <w:r w:rsidRPr="009533DD">
        <w:rPr>
          <w:bCs/>
        </w:rPr>
        <w:t>Litterae</w:t>
      </w:r>
      <w:proofErr w:type="spellEnd"/>
      <w:r w:rsidRPr="009533DD">
        <w:rPr>
          <w:bCs/>
        </w:rPr>
        <w:t xml:space="preserve">: </w:t>
      </w:r>
      <w:r w:rsidRPr="009533DD">
        <w:rPr>
          <w:bCs/>
          <w:i/>
        </w:rPr>
        <w:t xml:space="preserve">cum </w:t>
      </w:r>
      <w:proofErr w:type="spellStart"/>
      <w:r w:rsidRPr="009533DD">
        <w:rPr>
          <w:bCs/>
          <w:i/>
        </w:rPr>
        <w:t>serico</w:t>
      </w:r>
      <w:proofErr w:type="spellEnd"/>
      <w:r w:rsidRPr="009533DD">
        <w:rPr>
          <w:bCs/>
        </w:rPr>
        <w:t xml:space="preserve"> („Gnadenbriefe“)/</w:t>
      </w:r>
      <w:r w:rsidRPr="009533DD">
        <w:rPr>
          <w:bCs/>
          <w:i/>
        </w:rPr>
        <w:t xml:space="preserve">cum </w:t>
      </w:r>
      <w:proofErr w:type="spellStart"/>
      <w:r w:rsidRPr="009533DD">
        <w:rPr>
          <w:bCs/>
          <w:i/>
        </w:rPr>
        <w:t>filo</w:t>
      </w:r>
      <w:proofErr w:type="spellEnd"/>
      <w:r w:rsidRPr="009533DD">
        <w:rPr>
          <w:bCs/>
          <w:i/>
        </w:rPr>
        <w:t xml:space="preserve"> </w:t>
      </w:r>
      <w:proofErr w:type="spellStart"/>
      <w:r w:rsidRPr="009533DD">
        <w:rPr>
          <w:bCs/>
          <w:i/>
        </w:rPr>
        <w:t>canapis</w:t>
      </w:r>
      <w:proofErr w:type="spellEnd"/>
      <w:r w:rsidRPr="009533DD">
        <w:rPr>
          <w:bCs/>
          <w:i/>
        </w:rPr>
        <w:t xml:space="preserve"> </w:t>
      </w:r>
      <w:r w:rsidRPr="009533DD">
        <w:rPr>
          <w:bCs/>
        </w:rPr>
        <w:t xml:space="preserve">(„Justizbriefe“) </w:t>
      </w:r>
    </w:p>
    <w:p w:rsidR="009533DD" w:rsidRDefault="009533DD" w:rsidP="009533DD">
      <w:pPr>
        <w:autoSpaceDE w:val="0"/>
        <w:autoSpaceDN w:val="0"/>
        <w:adjustRightInd w:val="0"/>
        <w:spacing w:before="10" w:after="0" w:line="240" w:lineRule="auto"/>
        <w:rPr>
          <w:bCs/>
        </w:rPr>
      </w:pPr>
    </w:p>
    <w:p w:rsidR="009533DD" w:rsidRPr="009533DD" w:rsidRDefault="009533DD" w:rsidP="009533DD">
      <w:pPr>
        <w:autoSpaceDE w:val="0"/>
        <w:autoSpaceDN w:val="0"/>
        <w:adjustRightInd w:val="0"/>
        <w:spacing w:before="10" w:after="0" w:line="240" w:lineRule="auto"/>
        <w:rPr>
          <w:bCs/>
        </w:rPr>
      </w:pPr>
      <w:r w:rsidRPr="009533DD">
        <w:rPr>
          <w:bCs/>
        </w:rPr>
        <w:t xml:space="preserve">Idealer Geschäftsgang an der Kurie (hierarchisch gegliederte „Behörde“): </w:t>
      </w:r>
    </w:p>
    <w:p w:rsidR="009533DD" w:rsidRPr="009533DD" w:rsidRDefault="009533DD" w:rsidP="009533DD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533DD">
        <w:rPr>
          <w:bCs/>
        </w:rPr>
        <w:t xml:space="preserve">Supplik (schriftlich) - Signatur der Supplik (Genehmigung) und Datierung – Eintrag in </w:t>
      </w:r>
      <w:proofErr w:type="spellStart"/>
      <w:r w:rsidRPr="009533DD">
        <w:rPr>
          <w:bCs/>
        </w:rPr>
        <w:t>Supplikenregister</w:t>
      </w:r>
      <w:proofErr w:type="spellEnd"/>
      <w:r w:rsidRPr="009533DD">
        <w:rPr>
          <w:bCs/>
        </w:rPr>
        <w:t xml:space="preserve"> – weitere 27 Schritte bei </w:t>
      </w:r>
      <w:proofErr w:type="spellStart"/>
      <w:r w:rsidRPr="009533DD">
        <w:rPr>
          <w:bCs/>
          <w:i/>
        </w:rPr>
        <w:t>expeditio</w:t>
      </w:r>
      <w:proofErr w:type="spellEnd"/>
      <w:r w:rsidRPr="009533DD">
        <w:rPr>
          <w:bCs/>
          <w:i/>
        </w:rPr>
        <w:t xml:space="preserve"> per </w:t>
      </w:r>
      <w:proofErr w:type="spellStart"/>
      <w:r w:rsidRPr="009533DD">
        <w:rPr>
          <w:bCs/>
          <w:i/>
        </w:rPr>
        <w:t>cancellariam</w:t>
      </w:r>
      <w:proofErr w:type="spellEnd"/>
      <w:r w:rsidRPr="009533DD">
        <w:rPr>
          <w:bCs/>
        </w:rPr>
        <w:t xml:space="preserve"> – Konzepterstellung (Notare bzw. </w:t>
      </w:r>
      <w:proofErr w:type="spellStart"/>
      <w:r w:rsidRPr="009533DD">
        <w:rPr>
          <w:bCs/>
        </w:rPr>
        <w:t>Abbreviatoren</w:t>
      </w:r>
      <w:proofErr w:type="spellEnd"/>
      <w:r w:rsidRPr="009533DD">
        <w:rPr>
          <w:bCs/>
        </w:rPr>
        <w:t xml:space="preserve">) im </w:t>
      </w:r>
      <w:proofErr w:type="spellStart"/>
      <w:r w:rsidRPr="009533DD">
        <w:rPr>
          <w:bCs/>
          <w:i/>
        </w:rPr>
        <w:t>stilus</w:t>
      </w:r>
      <w:proofErr w:type="spellEnd"/>
      <w:r w:rsidRPr="009533DD">
        <w:rPr>
          <w:bCs/>
          <w:i/>
        </w:rPr>
        <w:t xml:space="preserve"> </w:t>
      </w:r>
      <w:proofErr w:type="spellStart"/>
      <w:r w:rsidRPr="009533DD">
        <w:rPr>
          <w:bCs/>
          <w:i/>
        </w:rPr>
        <w:t>curie</w:t>
      </w:r>
      <w:proofErr w:type="spellEnd"/>
      <w:r w:rsidRPr="009533DD">
        <w:rPr>
          <w:bCs/>
        </w:rPr>
        <w:t xml:space="preserve"> – </w:t>
      </w:r>
      <w:proofErr w:type="spellStart"/>
      <w:r w:rsidRPr="009533DD">
        <w:rPr>
          <w:bCs/>
        </w:rPr>
        <w:t>Mundierung</w:t>
      </w:r>
      <w:proofErr w:type="spellEnd"/>
      <w:r w:rsidRPr="009533DD">
        <w:rPr>
          <w:bCs/>
        </w:rPr>
        <w:t xml:space="preserve"> durch Skriptoren (namentlich auf </w:t>
      </w:r>
      <w:proofErr w:type="spellStart"/>
      <w:r w:rsidRPr="009533DD">
        <w:rPr>
          <w:bCs/>
        </w:rPr>
        <w:t>Plica</w:t>
      </w:r>
      <w:proofErr w:type="spellEnd"/>
      <w:r w:rsidRPr="009533DD">
        <w:rPr>
          <w:bCs/>
        </w:rPr>
        <w:t xml:space="preserve"> rechts genannt) – Taxierung – 1. Kontrolle kanzleiintern – 2. Kontrolle durch Verlesung vor dem Papst bzw. durch Kanzleiangehörige – Bezahlung der Siegeltaxe – Besiegelung – Registrierung (Taxe) </w:t>
      </w:r>
    </w:p>
    <w:p w:rsidR="00E22FD4" w:rsidRPr="00E22FD4" w:rsidRDefault="009533DD" w:rsidP="009533DD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533DD">
        <w:rPr>
          <w:bCs/>
        </w:rPr>
        <w:t>Das meiste davon durch Kanzleivermerke auf der Urkunde belegbar</w:t>
      </w:r>
    </w:p>
    <w:p w:rsidR="006B5B99" w:rsidRDefault="006B5B99" w:rsidP="00650BAC">
      <w:pPr>
        <w:rPr>
          <w:bCs/>
        </w:rPr>
      </w:pPr>
    </w:p>
    <w:p w:rsidR="00422505" w:rsidRPr="00650BAC" w:rsidRDefault="00422505">
      <w:pPr>
        <w:rPr>
          <w:bCs/>
        </w:rPr>
      </w:pPr>
      <w:bookmarkStart w:id="0" w:name="_GoBack"/>
      <w:bookmarkEnd w:id="0"/>
    </w:p>
    <w:sectPr w:rsidR="00422505" w:rsidRPr="00650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F6"/>
    <w:rsid w:val="002D5CF6"/>
    <w:rsid w:val="00422505"/>
    <w:rsid w:val="00650BAC"/>
    <w:rsid w:val="006928C9"/>
    <w:rsid w:val="006B5B99"/>
    <w:rsid w:val="008D3334"/>
    <w:rsid w:val="009331EA"/>
    <w:rsid w:val="00942799"/>
    <w:rsid w:val="009533DD"/>
    <w:rsid w:val="009C6058"/>
    <w:rsid w:val="00A33573"/>
    <w:rsid w:val="00CD6BFD"/>
    <w:rsid w:val="00E22FD4"/>
    <w:rsid w:val="00E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357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357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Österreichische Akademie der Wissenschaften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Zajic, Andreas</dc:creator>
  <cp:lastModifiedBy>user</cp:lastModifiedBy>
  <cp:revision>2</cp:revision>
  <dcterms:created xsi:type="dcterms:W3CDTF">2015-05-19T14:56:00Z</dcterms:created>
  <dcterms:modified xsi:type="dcterms:W3CDTF">2015-05-19T14:56:00Z</dcterms:modified>
</cp:coreProperties>
</file>