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34" w:rsidRDefault="00FE3916">
      <w:r w:rsidRPr="007365F4">
        <w:rPr>
          <w:rFonts w:ascii="Times New Roman" w:hAnsi="Times New Roman"/>
          <w:sz w:val="24"/>
        </w:rPr>
        <w:t>http://eur-lex.europa.eu/legal-content/CS/TXT/?uri=uriserv:OJ.C_.2012.326.01.0001.01.CES&amp;toc=OJ:C:2012:326:TOC#C_2012326CS.01001301</w:t>
      </w:r>
      <w:bookmarkStart w:id="0" w:name="_GoBack"/>
      <w:bookmarkEnd w:id="0"/>
    </w:p>
    <w:sectPr w:rsidR="00860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16"/>
    <w:rsid w:val="00860A34"/>
    <w:rsid w:val="00FE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Seidl</dc:creator>
  <cp:lastModifiedBy>Jan Seidl</cp:lastModifiedBy>
  <cp:revision>1</cp:revision>
  <dcterms:created xsi:type="dcterms:W3CDTF">2016-02-16T13:00:00Z</dcterms:created>
  <dcterms:modified xsi:type="dcterms:W3CDTF">2016-02-16T13:01:00Z</dcterms:modified>
</cp:coreProperties>
</file>