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6E" w:rsidRPr="00B73BF0" w:rsidRDefault="0015696E" w:rsidP="0015696E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cs-CZ"/>
        </w:rPr>
        <w:t>Toulmin</w:t>
      </w:r>
      <w:proofErr w:type="spellEnd"/>
      <w:r w:rsidRPr="00B73BF0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cs-CZ"/>
        </w:rPr>
        <w:t xml:space="preserve"> Model 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Toulmin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model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asserts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most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consist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following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6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parts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: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r w:rsidRPr="00B73BF0">
        <w:rPr>
          <w:rFonts w:ascii="Arial Narrow" w:eastAsia="Times New Roman" w:hAnsi="Arial Narrow" w:cs="Times New Roman"/>
          <w:noProof/>
          <w:sz w:val="24"/>
          <w:szCs w:val="24"/>
          <w:lang w:eastAsia="cs-CZ"/>
        </w:rPr>
        <w:drawing>
          <wp:inline distT="0" distB="0" distL="0" distR="0">
            <wp:extent cx="5419725" cy="3590925"/>
            <wp:effectExtent l="0" t="0" r="9525" b="9525"/>
            <wp:docPr id="1" name="Obrázek 1" descr="http://web.ics.purdue.edu/%7Epbawa/421/toul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ics.purdue.edu/%7Epbawa/421/toulm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  <w:t>                                                             </w:t>
      </w:r>
    </w:p>
    <w:p w:rsidR="0015696E" w:rsidRPr="00B73BF0" w:rsidRDefault="0015696E" w:rsidP="0015696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Toulmin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Model</w:t>
      </w:r>
    </w:p>
    <w:p w:rsidR="0015696E" w:rsidRPr="00B73BF0" w:rsidRDefault="0015696E" w:rsidP="00156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position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argued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;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conclusion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argument. </w:t>
      </w:r>
    </w:p>
    <w:p w:rsidR="0015696E" w:rsidRPr="00B73BF0" w:rsidRDefault="0015696E" w:rsidP="00156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Grounds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supporting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evidence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bolster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</w:p>
    <w:p w:rsidR="0015696E" w:rsidRPr="00B73BF0" w:rsidRDefault="0015696E" w:rsidP="00156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Warrant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principle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provision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chain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connects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grounds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/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  </w:t>
      </w:r>
    </w:p>
    <w:p w:rsidR="0015696E" w:rsidRPr="00B73BF0" w:rsidRDefault="0015696E" w:rsidP="00156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Backing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support,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justification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back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up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warrant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</w:p>
    <w:p w:rsidR="0015696E" w:rsidRPr="00B73BF0" w:rsidRDefault="0015696E" w:rsidP="00156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Rebuttal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/</w:t>
      </w: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Reservation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exceptions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;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description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rebuttal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counter-examples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counter-arguments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</w:p>
    <w:p w:rsidR="0015696E" w:rsidRPr="00B73BF0" w:rsidRDefault="0015696E" w:rsidP="00156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Qualification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specification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limits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warrant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backing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 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degree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conditionality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asserted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  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Warrants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/General 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Strategies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Argument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Warrants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chains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connect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evidence/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warrant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principle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provision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chain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connects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grounds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/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 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Warrants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operate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higher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level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generality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are not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normally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explicit.</w:t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  <w:t> 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lastRenderedPageBreak/>
        <w:t>Example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: “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Needle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exchange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programs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should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abolished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[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]</w:t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because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only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cause more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people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use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drugs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.” </w:t>
      </w:r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[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reason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]</w:t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unstated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warrant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: “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when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you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make risky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behavior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safer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you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encourage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more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people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engage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.”</w:t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  <w:t> 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There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are 6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main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argumentative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strategies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via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which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relationship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between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evidence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often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established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.  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have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acronym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“GASCAP.”</w:t>
      </w:r>
    </w:p>
    <w:p w:rsidR="0015696E" w:rsidRPr="00B73BF0" w:rsidRDefault="0015696E" w:rsidP="00156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Generalization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             </w:t>
      </w:r>
    </w:p>
    <w:p w:rsidR="0015696E" w:rsidRPr="00B73BF0" w:rsidRDefault="0015696E" w:rsidP="00156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Analogy                                          </w:t>
      </w:r>
    </w:p>
    <w:p w:rsidR="0015696E" w:rsidRPr="00B73BF0" w:rsidRDefault="0015696E" w:rsidP="00156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Sign                                       </w:t>
      </w:r>
    </w:p>
    <w:p w:rsidR="0015696E" w:rsidRPr="00B73BF0" w:rsidRDefault="0015696E" w:rsidP="00156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Causality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                                </w:t>
      </w:r>
    </w:p>
    <w:p w:rsidR="0015696E" w:rsidRPr="00B73BF0" w:rsidRDefault="0015696E" w:rsidP="00156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Authority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                                </w:t>
      </w:r>
    </w:p>
    <w:p w:rsidR="0015696E" w:rsidRPr="00B73BF0" w:rsidRDefault="0015696E" w:rsidP="00156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Principle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           </w:t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  <w:t xml:space="preserve">                      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These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strategies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gram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used</w:t>
      </w:r>
      <w:proofErr w:type="spellEnd"/>
      <w:proofErr w:type="gram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various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different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levels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generality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within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argument,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rarely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come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neat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packages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-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typically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interconnected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work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combination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  <w:t> 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Common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Warrants</w:t>
      </w:r>
      <w:proofErr w:type="spellEnd"/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1.  Argument </w:t>
      </w: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based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 on </w:t>
      </w: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Generalization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br/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A very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common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form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 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assumes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true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well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chosen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sample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likely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hold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larger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group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population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certain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things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consistent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with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sample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can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inferred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group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/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population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  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2. Argument </w:t>
      </w: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based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 on Analogy</w:t>
      </w:r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br/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Extrapolating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from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one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situation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event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based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on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nature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outcome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similar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situation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event.  Has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links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'case-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based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' and precedent-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based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used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legal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discourse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important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here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extent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which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relevant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similarities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can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established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between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2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contexts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 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there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sufficient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typical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accurate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relevant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similarities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?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3. Argument via Sign/</w:t>
      </w: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Clue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br/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notion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certain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types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evidence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symptomatic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some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wider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principle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outcome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 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example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smoke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often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considered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sign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fire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 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Some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people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think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high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SAT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scores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are a sign a person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smart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will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do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well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college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  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4.  </w:t>
      </w: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Causal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 Argument</w:t>
      </w:r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br/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Arguing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given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occurrence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event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result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effected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by,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factor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X. 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Causal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most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complex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different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forms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warrant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big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dangers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with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are:</w:t>
      </w:r>
    </w:p>
    <w:p w:rsidR="0015696E" w:rsidRPr="00B73BF0" w:rsidRDefault="0015696E" w:rsidP="00156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Mixing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up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correlation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with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causation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:rsidR="0015696E" w:rsidRPr="00B73BF0" w:rsidRDefault="0015696E" w:rsidP="00156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Falling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into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post hoc, ergo </w:t>
      </w: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propter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 hoc</w:t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trap. 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Closely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related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confusing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correlation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causation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involves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inferring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'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after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fact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therefore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because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fact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'). </w:t>
      </w:r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 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lastRenderedPageBreak/>
        <w:t xml:space="preserve">5.  Argument </w:t>
      </w: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from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Authority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br/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Does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person X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text X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constitute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authoritative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source on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issue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question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? 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political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ideological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economic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interests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does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authority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have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? 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sort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issue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which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significant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number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authorities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likely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agree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on?  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6.  Argument </w:t>
      </w: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from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Principle</w:t>
      </w:r>
      <w:proofErr w:type="spellEnd"/>
      <w:r w:rsidRPr="00B73BF0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br/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Locating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principle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widely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regarded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as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valid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showing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situation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exists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which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principle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applies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 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Evaluation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principle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widely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accepted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?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Does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accurately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apply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situation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question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?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there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commonly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agreed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on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exceptions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? 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there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'rival'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principles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lead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different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claim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? 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practical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consequences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following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principle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sufficiently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desirable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?  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 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Rebuttals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Main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/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Faulty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/Return 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Paths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</w:t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Unlike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many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forms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writing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academic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will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often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include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discussions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possible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objections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counterarguments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position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advanced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Academic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typically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take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place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disciplinary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communities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which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variety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competing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divergent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positions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exist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When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preparing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'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speak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'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community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by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writing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argument,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writers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aware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against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which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must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build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their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claims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counterarguments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which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likely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emerge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Dealing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with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counterarguments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objections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thus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key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part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process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building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refining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interpreting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analyzing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There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several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main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reasons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introducing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counterarguments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objections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1.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demonstrates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author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aware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opposing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views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not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trying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'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sweep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under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table'.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thus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more</w:t>
      </w:r>
      <w:proofErr w:type="gram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likely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make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writer's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argument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seem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'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balanced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'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'fair'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readers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and as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consequence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persuasive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2.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shows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writer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thinking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carefully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about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responses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readers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anticipating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objections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many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readers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may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have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Introducing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reader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some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positions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opposed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your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own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showing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how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you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can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deal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with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possible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objections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can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thus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work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'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inoculate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'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reader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against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counterarguments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3. By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contrasting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one's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position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with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alternative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hypotheses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one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against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one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clarifies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position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argued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. 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When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dealing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with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objections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counterarguments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authors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tend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take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one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3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approaches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15696E" w:rsidRPr="00B73BF0" w:rsidRDefault="0015696E" w:rsidP="00156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Strategic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concession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acknowledgment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some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merits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different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view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some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cases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may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mean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accepting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incorporating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some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components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authors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' argument,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while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rejecting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other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parts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</w:p>
    <w:p w:rsidR="0015696E" w:rsidRPr="00B73BF0" w:rsidRDefault="0015696E" w:rsidP="00156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Refutation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involves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able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show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important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weaknesses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shortcomings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an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opponent's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position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demonstrate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his/her argument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ought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rejected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</w:p>
    <w:p w:rsidR="0015696E" w:rsidRPr="00B73BF0" w:rsidRDefault="0015696E" w:rsidP="00156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Demonstration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irrelevance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showing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issue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question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to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understood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such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opposing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views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while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perhaps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valid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certain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respects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do not in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fact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meet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criteria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relevance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that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you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believe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define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issue</w:t>
      </w:r>
      <w:proofErr w:type="spellEnd"/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br/>
        <w:t> 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How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well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authors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produce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rebuttals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and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deal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with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counter-arguments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is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an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important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part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how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we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evaluate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the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success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of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an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 xml:space="preserve"> argument.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lastRenderedPageBreak/>
        <w:t>Courtsey</w:t>
      </w:r>
      <w:proofErr w:type="spellEnd"/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: Rohan</w:t>
      </w:r>
    </w:p>
    <w:p w:rsidR="0015696E" w:rsidRPr="00B73BF0" w:rsidRDefault="0015696E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cs-CZ"/>
        </w:rPr>
        <w:t>FOR MORE INFORMATION</w:t>
      </w:r>
    </w:p>
    <w:p w:rsidR="0015696E" w:rsidRPr="00B73BF0" w:rsidRDefault="00B73BF0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hyperlink r:id="rId6" w:history="1">
        <w:r w:rsidR="0015696E" w:rsidRPr="00B73BF0">
          <w:rPr>
            <w:rFonts w:ascii="Arial Narrow" w:eastAsia="Times New Roman" w:hAnsi="Arial Narrow" w:cs="Times New Roman"/>
            <w:bCs/>
            <w:iCs/>
            <w:sz w:val="24"/>
            <w:szCs w:val="24"/>
            <w:lang w:eastAsia="cs-CZ"/>
          </w:rPr>
          <w:t>http://commfaculty.fullerton.edu/rgass/toulmin2.htm</w:t>
        </w:r>
      </w:hyperlink>
    </w:p>
    <w:p w:rsidR="0015696E" w:rsidRPr="00B73BF0" w:rsidRDefault="00B73BF0" w:rsidP="00156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hyperlink r:id="rId7" w:history="1">
        <w:r w:rsidR="0015696E" w:rsidRPr="00B73BF0">
          <w:rPr>
            <w:rFonts w:ascii="Arial Narrow" w:eastAsia="Times New Roman" w:hAnsi="Arial Narrow" w:cs="Times New Roman"/>
            <w:bCs/>
            <w:iCs/>
            <w:sz w:val="24"/>
            <w:szCs w:val="24"/>
            <w:lang w:eastAsia="cs-CZ"/>
          </w:rPr>
          <w:t>http://students.ou.edu/S/Charles.R.Swadley-1/argumentation.htm</w:t>
        </w:r>
      </w:hyperlink>
    </w:p>
    <w:p w:rsidR="00D16528" w:rsidRPr="00B73BF0" w:rsidRDefault="00D16528">
      <w:pPr>
        <w:rPr>
          <w:rFonts w:ascii="Arial Narrow" w:hAnsi="Arial Narrow"/>
          <w:i/>
        </w:rPr>
      </w:pPr>
    </w:p>
    <w:p w:rsidR="00D16528" w:rsidRPr="00B73BF0" w:rsidRDefault="00D16528">
      <w:pPr>
        <w:rPr>
          <w:rFonts w:ascii="Arial Narrow" w:hAnsi="Arial Narrow"/>
          <w:i/>
        </w:rPr>
      </w:pPr>
    </w:p>
    <w:p w:rsidR="005239EE" w:rsidRPr="00B73BF0" w:rsidRDefault="0015696E">
      <w:pPr>
        <w:rPr>
          <w:rFonts w:ascii="Arial Narrow" w:hAnsi="Arial Narrow"/>
          <w:i/>
        </w:rPr>
      </w:pPr>
      <w:proofErr w:type="spellStart"/>
      <w:r w:rsidRPr="00B73BF0">
        <w:rPr>
          <w:rFonts w:ascii="Arial Narrow" w:hAnsi="Arial Narrow"/>
          <w:i/>
        </w:rPr>
        <w:t>adapted</w:t>
      </w:r>
      <w:proofErr w:type="spellEnd"/>
      <w:r w:rsidRPr="00B73BF0">
        <w:rPr>
          <w:rFonts w:ascii="Arial Narrow" w:hAnsi="Arial Narrow"/>
          <w:i/>
        </w:rPr>
        <w:t xml:space="preserve"> </w:t>
      </w:r>
      <w:proofErr w:type="spellStart"/>
      <w:r w:rsidRPr="00B73BF0">
        <w:rPr>
          <w:rFonts w:ascii="Arial Narrow" w:hAnsi="Arial Narrow"/>
          <w:i/>
        </w:rPr>
        <w:t>from</w:t>
      </w:r>
      <w:proofErr w:type="spellEnd"/>
      <w:r w:rsidRPr="00B73BF0">
        <w:rPr>
          <w:rFonts w:ascii="Arial Narrow" w:hAnsi="Arial Narrow"/>
          <w:i/>
        </w:rPr>
        <w:t xml:space="preserve"> </w:t>
      </w:r>
      <w:hyperlink r:id="rId8" w:history="1">
        <w:r w:rsidR="00D16528" w:rsidRPr="00B73BF0">
          <w:rPr>
            <w:rStyle w:val="Hypertextovodkaz"/>
            <w:rFonts w:ascii="Arial Narrow" w:hAnsi="Arial Narrow"/>
            <w:color w:val="auto"/>
            <w:u w:val="none"/>
          </w:rPr>
          <w:t>http://web.ics.purdue.edu/~pbawa/421/THE%20TOLUMIN%20MODEL.htm</w:t>
        </w:r>
      </w:hyperlink>
    </w:p>
    <w:p w:rsidR="00D16528" w:rsidRPr="00B73BF0" w:rsidRDefault="00D16528">
      <w:pPr>
        <w:rPr>
          <w:rFonts w:ascii="Arial Narrow" w:hAnsi="Arial Narrow"/>
          <w:i/>
        </w:rPr>
      </w:pPr>
    </w:p>
    <w:p w:rsidR="00D16528" w:rsidRPr="00B73BF0" w:rsidRDefault="00D16528" w:rsidP="00D1652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73BF0">
        <w:rPr>
          <w:rFonts w:ascii="Arial Narrow" w:eastAsia="Times New Roman" w:hAnsi="Arial Narrow" w:cs="Times New Roman"/>
          <w:sz w:val="24"/>
          <w:szCs w:val="24"/>
          <w:lang w:eastAsia="cs-CZ"/>
        </w:rPr>
        <w:t> extra video: https://www.youtube.com/watch?v=D-YPPQztuOY</w:t>
      </w:r>
    </w:p>
    <w:p w:rsidR="00D16528" w:rsidRPr="00B73BF0" w:rsidRDefault="00D16528">
      <w:pPr>
        <w:rPr>
          <w:rFonts w:ascii="Arial Narrow" w:hAnsi="Arial Narrow"/>
          <w:i/>
        </w:rPr>
      </w:pPr>
    </w:p>
    <w:sectPr w:rsidR="00D16528" w:rsidRPr="00B7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6AEA"/>
    <w:multiLevelType w:val="multilevel"/>
    <w:tmpl w:val="9F58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64437"/>
    <w:multiLevelType w:val="multilevel"/>
    <w:tmpl w:val="83FC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73F8B"/>
    <w:multiLevelType w:val="multilevel"/>
    <w:tmpl w:val="0F3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311BD"/>
    <w:multiLevelType w:val="multilevel"/>
    <w:tmpl w:val="481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6E"/>
    <w:rsid w:val="0015696E"/>
    <w:rsid w:val="007A5308"/>
    <w:rsid w:val="008D6CBD"/>
    <w:rsid w:val="00B73BF0"/>
    <w:rsid w:val="00C06D60"/>
    <w:rsid w:val="00D1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D6E94-DB11-47A9-8097-89BA35C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6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5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6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69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69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69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ockquote">
    <w:name w:val="blockquote"/>
    <w:basedOn w:val="Normln"/>
    <w:rsid w:val="0015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6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cs.purdue.edu/~pbawa/421/THE%20TOLUMIN%20MODE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ents.ou.edu/S/Charles.R.Swadley-1/argumenta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faculty.fullerton.edu/rgass/toulmin2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2</cp:revision>
  <dcterms:created xsi:type="dcterms:W3CDTF">2017-01-03T07:49:00Z</dcterms:created>
  <dcterms:modified xsi:type="dcterms:W3CDTF">2017-01-03T09:04:00Z</dcterms:modified>
</cp:coreProperties>
</file>