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1C" w:rsidRP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fldChar w:fldCharType="begin"/>
      </w:r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instrText xml:space="preserve"> HYPERLINK "javascript:%20void%200;" </w:instrText>
      </w:r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fldChar w:fldCharType="separate"/>
      </w:r>
      <w:proofErr w:type="spellStart"/>
      <w:r w:rsidRPr="00DD0E1C">
        <w:rPr>
          <w:rFonts w:ascii="Garamond" w:eastAsia="Times New Roman" w:hAnsi="Garamond" w:cstheme="minorHAnsi"/>
          <w:color w:val="0000FF"/>
          <w:sz w:val="32"/>
          <w:szCs w:val="32"/>
          <w:u w:val="single"/>
          <w:lang w:eastAsia="cs-CZ"/>
        </w:rPr>
        <w:t>Directions</w:t>
      </w:r>
      <w:proofErr w:type="spellEnd"/>
      <w:r w:rsidRPr="00DD0E1C">
        <w:rPr>
          <w:rFonts w:ascii="Garamond" w:eastAsia="Times New Roman" w:hAnsi="Garamond" w:cstheme="minorHAnsi"/>
          <w:color w:val="0000FF"/>
          <w:sz w:val="32"/>
          <w:szCs w:val="32"/>
          <w:u w:val="single"/>
          <w:lang w:eastAsia="cs-CZ"/>
        </w:rPr>
        <w:t xml:space="preserve"> to </w:t>
      </w:r>
      <w:proofErr w:type="spellStart"/>
      <w:r w:rsidRPr="00DD0E1C">
        <w:rPr>
          <w:rFonts w:ascii="Garamond" w:eastAsia="Times New Roman" w:hAnsi="Garamond" w:cstheme="minorHAnsi"/>
          <w:color w:val="0000FF"/>
          <w:sz w:val="32"/>
          <w:szCs w:val="32"/>
          <w:u w:val="single"/>
          <w:lang w:eastAsia="cs-CZ"/>
        </w:rPr>
        <w:t>Solve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fldChar w:fldCharType="end"/>
      </w: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Read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the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paragraph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carefully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and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determine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the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main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point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the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author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is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trying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to make.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What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con</w:t>
      </w:r>
      <w:bookmarkStart w:id="0" w:name="_GoBack"/>
      <w:bookmarkEnd w:id="0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clusion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can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be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drawn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from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the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argument?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Each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paragraph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is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followed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by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five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statements.One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statement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supports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the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author's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argument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better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than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the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spell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others</w:t>
      </w:r>
      <w:proofErr w:type="spell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 </w:t>
      </w:r>
      <w:proofErr w:type="gramStart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>do</w:t>
      </w:r>
      <w:proofErr w:type="gramEnd"/>
      <w:r w:rsidRPr="00DD0E1C">
        <w:rPr>
          <w:rFonts w:ascii="Garamond" w:eastAsia="Times New Roman" w:hAnsi="Garamond" w:cstheme="minorHAnsi"/>
          <w:sz w:val="32"/>
          <w:szCs w:val="32"/>
          <w:lang w:eastAsia="cs-CZ"/>
        </w:rPr>
        <w:t xml:space="preserve">. </w:t>
      </w:r>
    </w:p>
    <w:p w:rsidR="00DD0E1C" w:rsidRPr="00DD0E1C" w:rsidRDefault="00DD0E1C" w:rsidP="00DD0E1C">
      <w:pPr>
        <w:spacing w:after="0" w:line="240" w:lineRule="auto"/>
        <w:jc w:val="right"/>
        <w:rPr>
          <w:rFonts w:ascii="Garamond" w:eastAsia="Times New Roman" w:hAnsi="Garamond" w:cstheme="minorHAnsi"/>
          <w:i/>
          <w:sz w:val="32"/>
          <w:szCs w:val="32"/>
          <w:lang w:eastAsia="cs-CZ"/>
        </w:rPr>
      </w:pPr>
      <w:r w:rsidRPr="00DD0E1C">
        <w:rPr>
          <w:rFonts w:ascii="Garamond" w:eastAsia="Times New Roman" w:hAnsi="Garamond" w:cstheme="minorHAnsi"/>
          <w:i/>
          <w:sz w:val="32"/>
          <w:szCs w:val="32"/>
          <w:lang w:eastAsia="cs-CZ"/>
        </w:rPr>
        <w:t>http://www.indiabix.com/logical-reasoning/analyzing-arguments/</w:t>
      </w:r>
    </w:p>
    <w:p w:rsidR="00DD0E1C" w:rsidRP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P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DD0E1C" w:rsidRPr="00DD0E1C" w:rsidTr="00DD0E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lastRenderedPageBreak/>
              <w:t>1. </w:t>
            </w:r>
          </w:p>
        </w:tc>
        <w:tc>
          <w:tcPr>
            <w:tcW w:w="0" w:type="auto"/>
            <w:hideMark/>
          </w:tcPr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One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New York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publisher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has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estimated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50,000 to 60,000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people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United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anthology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includes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complete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works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gram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William</w:t>
            </w:r>
            <w:proofErr w:type="gram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Shakespeare. And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accounts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renewed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interest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Shakespeare? As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scholars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point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out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his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psychological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insights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into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both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male and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female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characters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amazing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even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today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.</w:t>
            </w: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br/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supports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</w:p>
        </w:tc>
      </w:tr>
      <w:tr w:rsidR="00DD0E1C" w:rsidRPr="00DD0E1C" w:rsidTr="00DD0E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8455"/>
            </w:tblGrid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4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Shakespeare's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characters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are more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interesting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fictional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characters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today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5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people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even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today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interested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Shakespeare's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because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characters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6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academic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scholars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putting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together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anthology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Shakespeare's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7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New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Yorkers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have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renewed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interested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gram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Shakespeare</w:t>
                  </w:r>
                  <w:proofErr w:type="gram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8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E.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Shakespeare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was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psychiatrist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as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well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as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playwright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</w:tbl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: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Option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B</w:t>
            </w: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Explanation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:</w:t>
            </w:r>
          </w:p>
          <w:p w:rsid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last sentence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clearly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gives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support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idea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interest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Shakespeare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due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development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his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characters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incorrect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writer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never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makes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type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comparison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wrong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even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though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scholars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mentioned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indication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scholars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compiling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anthology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wrong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 support to show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most New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Yorkers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interested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work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 support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either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</w:p>
          <w:p w:rsid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</w:tr>
    </w:tbl>
    <w:p w:rsidR="00DD0E1C" w:rsidRP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DD0E1C" w:rsidRPr="00DD0E1C" w:rsidTr="00DD0E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lastRenderedPageBreak/>
              <w:t>2. </w:t>
            </w:r>
          </w:p>
        </w:tc>
        <w:tc>
          <w:tcPr>
            <w:tcW w:w="0" w:type="auto"/>
            <w:hideMark/>
          </w:tcPr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One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warmest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winters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on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record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has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put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consumers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mood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spend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money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Spending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likely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strongest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thirteen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years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During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month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February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sales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existing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single-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family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homes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hit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annual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record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rate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4.75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million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.</w:t>
            </w: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br/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supports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</w:p>
        </w:tc>
      </w:tr>
      <w:tr w:rsidR="00DD0E1C" w:rsidRPr="00DD0E1C" w:rsidTr="00DD0E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8455"/>
            </w:tblGrid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9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consumer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spending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will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higher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thirteen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years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from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now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today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0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more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people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buy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houses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month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February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any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other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month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1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during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winter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months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,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prices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single-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family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homes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lowest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2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there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were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about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4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million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homes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for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sale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during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month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February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3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E.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warm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winter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weather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likely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to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affect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rate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home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sales.</w:t>
                  </w:r>
                </w:p>
              </w:tc>
            </w:tr>
          </w:tbl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: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Option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E</w:t>
            </w: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Explanation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:</w:t>
            </w: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clearly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directly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warm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weather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affects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consumers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inclination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spend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furthers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sales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single-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family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homes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all-time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high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 support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b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wrong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even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though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high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sales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particular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February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does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mean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sales are not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higher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other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months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presents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misleading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figure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4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million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record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4.75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million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annual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not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monthly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rate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</w:tr>
    </w:tbl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P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DD0E1C" w:rsidRPr="00DD0E1C" w:rsidTr="00DD0E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lastRenderedPageBreak/>
              <w:t>3. </w:t>
            </w:r>
          </w:p>
        </w:tc>
        <w:tc>
          <w:tcPr>
            <w:tcW w:w="0" w:type="auto"/>
            <w:hideMark/>
          </w:tcPr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Generation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Xers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those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people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born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roughly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between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1965 and 1981. As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employees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Generation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Xers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tend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more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challenged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when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carry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out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tasks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independently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makes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Generation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Xers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most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entrepreneurial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generation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history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.</w:t>
            </w: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br/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supports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Generation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Xers</w:t>
            </w:r>
            <w:proofErr w:type="spellEnd"/>
          </w:p>
        </w:tc>
      </w:tr>
      <w:tr w:rsidR="00DD0E1C" w:rsidRPr="00DD0E1C" w:rsidTr="00DD0E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8455"/>
            </w:tblGrid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4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harder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people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from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other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generations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5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have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tendency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to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self-directed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workers</w:t>
                  </w:r>
                  <w:proofErr w:type="spellEnd"/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6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have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interest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making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history</w:t>
                  </w:r>
                  <w:proofErr w:type="spellEnd"/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7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tend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to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in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jobs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require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risk-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taking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behavior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8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E.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like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to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challenge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their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bosses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attitudes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</w:tbl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: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Option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B</w:t>
            </w: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Explanation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:</w:t>
            </w: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support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b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given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second sentence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Generation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Xers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like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work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independently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which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means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self-directed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No support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given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either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related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Although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mentions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Generation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Xers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like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challenged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does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say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like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challenge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their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bosses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attitudes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;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therefore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ruled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out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</w:tr>
    </w:tbl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P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DD0E1C" w:rsidRPr="00DD0E1C" w:rsidTr="00DD0E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lastRenderedPageBreak/>
              <w:t>4. </w:t>
            </w:r>
          </w:p>
        </w:tc>
        <w:tc>
          <w:tcPr>
            <w:tcW w:w="0" w:type="auto"/>
            <w:hideMark/>
          </w:tcPr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you're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fitness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walker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need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commute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health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club.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Your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neighborhood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your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health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club.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You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don't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need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lot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fancy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equipment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get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good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workout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either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All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you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need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well-designed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pair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athletic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shoes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.</w:t>
            </w: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br/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supports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</w:p>
        </w:tc>
      </w:tr>
      <w:tr w:rsidR="00DD0E1C" w:rsidRPr="00DD0E1C" w:rsidTr="00DD0E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8455"/>
            </w:tblGrid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19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fitness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walking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better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form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exercise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weight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lifting.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0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membership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in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health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club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poor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investment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1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walking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outdoors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provides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better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workout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walking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indoors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2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fitness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walking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convenient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and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valuable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form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exercise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3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E.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poorly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designed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athletic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shoes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cause major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foot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injuries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</w:tbl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: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Option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D</w:t>
            </w: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Explanation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:</w:t>
            </w: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By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fitness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walking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does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require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commute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health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club,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author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stresses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convenience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exercise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also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fitness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walking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will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result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good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workout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incorrect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comparison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weight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lifting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made.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b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may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seem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like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logical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but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only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refers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to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people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who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fitness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walkers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so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others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health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club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might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good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investment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not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passage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Although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seems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logical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does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indicate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wrong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shoes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will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produce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major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injuries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</w:tr>
    </w:tbl>
    <w:p w:rsid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p w:rsidR="00DD0E1C" w:rsidRPr="00DD0E1C" w:rsidRDefault="00DD0E1C" w:rsidP="00DD0E1C">
      <w:pPr>
        <w:spacing w:after="0" w:line="240" w:lineRule="auto"/>
        <w:rPr>
          <w:rFonts w:ascii="Garamond" w:eastAsia="Times New Roman" w:hAnsi="Garamond" w:cstheme="minorHAnsi"/>
          <w:sz w:val="32"/>
          <w:szCs w:val="32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DD0E1C" w:rsidRPr="00DD0E1C" w:rsidTr="00DD0E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lastRenderedPageBreak/>
              <w:t>5. </w:t>
            </w:r>
          </w:p>
        </w:tc>
        <w:tc>
          <w:tcPr>
            <w:tcW w:w="0" w:type="auto"/>
            <w:hideMark/>
          </w:tcPr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past,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consumers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would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rarely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walk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into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cream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store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and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order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low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-fat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cream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But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isn't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case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today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increasing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health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consciousness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combined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with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much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bigger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selection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tasty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low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-fat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foods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in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all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categories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has made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low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-fat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cream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very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profitable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item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cream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store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owners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.</w:t>
            </w:r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br/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supports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statement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</w:p>
        </w:tc>
      </w:tr>
      <w:tr w:rsidR="00DD0E1C" w:rsidRPr="00DD0E1C" w:rsidTr="00DD0E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8455"/>
            </w:tblGrid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4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low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-fat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ice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cream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produces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more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revenue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other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low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-fat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foods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5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ice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cream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store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owners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would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better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carrying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only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low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-fat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ice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cream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6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ice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cream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store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owners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no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longer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think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low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-fat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ice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cream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unpopular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item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7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low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-fat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ice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cream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more</w:t>
                  </w:r>
                  <w:proofErr w:type="gram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popular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than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other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kinds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of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ice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cream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.</w:t>
                  </w:r>
                </w:p>
              </w:tc>
            </w:tr>
            <w:tr w:rsidR="00DD0E1C" w:rsidRPr="00DD0E1C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hyperlink r:id="rId28" w:history="1">
                    <w:r w:rsidRPr="00DD0E1C">
                      <w:rPr>
                        <w:rFonts w:ascii="Garamond" w:eastAsia="Times New Roman" w:hAnsi="Garamond" w:cstheme="minorHAnsi"/>
                        <w:color w:val="0000FF"/>
                        <w:sz w:val="32"/>
                        <w:szCs w:val="32"/>
                        <w:u w:val="single"/>
                        <w:lang w:eastAsia="cs-CZ"/>
                      </w:rPr>
                      <w:t>E.</w:t>
                    </w:r>
                  </w:hyperlink>
                </w:p>
              </w:tc>
              <w:tc>
                <w:tcPr>
                  <w:tcW w:w="4950" w:type="pct"/>
                  <w:vAlign w:val="center"/>
                  <w:hideMark/>
                </w:tcPr>
                <w:p w:rsidR="00DD0E1C" w:rsidRPr="00DD0E1C" w:rsidRDefault="00DD0E1C" w:rsidP="00DD0E1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</w:pP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consumers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are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fickle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and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it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is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impossible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to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please</w:t>
                  </w:r>
                  <w:proofErr w:type="spellEnd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 xml:space="preserve"> </w:t>
                  </w:r>
                  <w:proofErr w:type="spellStart"/>
                  <w:r w:rsidRPr="00DD0E1C">
                    <w:rPr>
                      <w:rFonts w:ascii="Garamond" w:eastAsia="Times New Roman" w:hAnsi="Garamond" w:cstheme="minorHAnsi"/>
                      <w:sz w:val="32"/>
                      <w:szCs w:val="32"/>
                      <w:lang w:eastAsia="cs-CZ"/>
                    </w:rPr>
                    <w:t>them</w:t>
                  </w:r>
                  <w:proofErr w:type="spellEnd"/>
                </w:p>
              </w:tc>
            </w:tr>
          </w:tbl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: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Option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C</w:t>
            </w:r>
          </w:p>
          <w:p w:rsidR="00DD0E1C" w:rsidRPr="00DD0E1C" w:rsidRDefault="00DD0E1C" w:rsidP="00DD0E1C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Explanation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:</w:t>
            </w:r>
          </w:p>
          <w:p w:rsidR="00DD0E1C" w:rsidRPr="00DD0E1C" w:rsidRDefault="00DD0E1C" w:rsidP="00DD0E1C">
            <w:pPr>
              <w:spacing w:after="0" w:line="240" w:lineRule="auto"/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</w:pP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supported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as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best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answer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paragraph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indicates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low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-fat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cream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was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once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unpopular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item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but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now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consumers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are more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health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conscious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and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because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wider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array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of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tasty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low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-fat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foods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low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-fat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cream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profitable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item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for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ice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cream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store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owners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There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no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indication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that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choices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a, b,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d,or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e are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true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based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on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the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information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>given</w:t>
            </w:r>
            <w:proofErr w:type="spellEnd"/>
            <w:r w:rsidRPr="00DD0E1C">
              <w:rPr>
                <w:rFonts w:ascii="Garamond" w:eastAsia="Times New Roman" w:hAnsi="Garamond" w:cstheme="minorHAnsi"/>
                <w:sz w:val="32"/>
                <w:szCs w:val="32"/>
                <w:lang w:eastAsia="cs-CZ"/>
              </w:rPr>
              <w:t xml:space="preserve">. </w:t>
            </w:r>
          </w:p>
        </w:tc>
      </w:tr>
    </w:tbl>
    <w:p w:rsidR="005239EE" w:rsidRPr="00DD0E1C" w:rsidRDefault="00DD0E1C">
      <w:pPr>
        <w:rPr>
          <w:rFonts w:ascii="Garamond" w:hAnsi="Garamond" w:cstheme="minorHAnsi"/>
          <w:sz w:val="32"/>
          <w:szCs w:val="32"/>
        </w:rPr>
      </w:pPr>
    </w:p>
    <w:sectPr w:rsidR="005239EE" w:rsidRPr="00DD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C"/>
    <w:rsid w:val="007A5308"/>
    <w:rsid w:val="008D6CBD"/>
    <w:rsid w:val="00D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89BA-6F83-4662-B5FE-B21AEFC7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0E1C"/>
    <w:rPr>
      <w:color w:val="0000FF"/>
      <w:u w:val="single"/>
    </w:rPr>
  </w:style>
  <w:style w:type="character" w:customStyle="1" w:styleId="ib-green">
    <w:name w:val="ib-green"/>
    <w:basedOn w:val="Standardnpsmoodstavce"/>
    <w:rsid w:val="00DD0E1C"/>
  </w:style>
  <w:style w:type="paragraph" w:styleId="Normlnweb">
    <w:name w:val="Normal (Web)"/>
    <w:basedOn w:val="Normln"/>
    <w:uiPriority w:val="99"/>
    <w:semiHidden/>
    <w:unhideWhenUsed/>
    <w:rsid w:val="00DD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x-green">
    <w:name w:val="mx-green"/>
    <w:basedOn w:val="Standardnpsmoodstavce"/>
    <w:rsid w:val="00DD0E1C"/>
  </w:style>
  <w:style w:type="character" w:customStyle="1" w:styleId="jq-hdnakqb">
    <w:name w:val="jq-hdnakqb"/>
    <w:basedOn w:val="Standardnpsmoodstavce"/>
    <w:rsid w:val="00DD0E1C"/>
  </w:style>
  <w:style w:type="character" w:customStyle="1" w:styleId="hide-1">
    <w:name w:val="hide-1"/>
    <w:basedOn w:val="Standardnpsmoodstavce"/>
    <w:rsid w:val="00DD0E1C"/>
  </w:style>
  <w:style w:type="paragraph" w:styleId="Textbubliny">
    <w:name w:val="Balloon Text"/>
    <w:basedOn w:val="Normln"/>
    <w:link w:val="TextbublinyChar"/>
    <w:uiPriority w:val="99"/>
    <w:semiHidden/>
    <w:unhideWhenUsed/>
    <w:rsid w:val="00DD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18" Type="http://schemas.openxmlformats.org/officeDocument/2006/relationships/hyperlink" Target="javascript:%20void%200;" TargetMode="External"/><Relationship Id="rId26" Type="http://schemas.openxmlformats.org/officeDocument/2006/relationships/hyperlink" Target="javascript:%20void%200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%20void%200;" TargetMode="External"/><Relationship Id="rId7" Type="http://schemas.openxmlformats.org/officeDocument/2006/relationships/hyperlink" Target="javascript:%20void%200;" TargetMode="External"/><Relationship Id="rId12" Type="http://schemas.openxmlformats.org/officeDocument/2006/relationships/hyperlink" Target="javascript:%20void%200;" TargetMode="External"/><Relationship Id="rId17" Type="http://schemas.openxmlformats.org/officeDocument/2006/relationships/hyperlink" Target="javascript:%20void%200;" TargetMode="External"/><Relationship Id="rId25" Type="http://schemas.openxmlformats.org/officeDocument/2006/relationships/hyperlink" Target="javascript:%20void%200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%20void%200;" TargetMode="External"/><Relationship Id="rId20" Type="http://schemas.openxmlformats.org/officeDocument/2006/relationships/hyperlink" Target="javascript:%20void%200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%20void%200;" TargetMode="External"/><Relationship Id="rId11" Type="http://schemas.openxmlformats.org/officeDocument/2006/relationships/hyperlink" Target="javascript:%20void%200;" TargetMode="External"/><Relationship Id="rId24" Type="http://schemas.openxmlformats.org/officeDocument/2006/relationships/hyperlink" Target="javascript:%20void%200;" TargetMode="External"/><Relationship Id="rId5" Type="http://schemas.openxmlformats.org/officeDocument/2006/relationships/hyperlink" Target="javascript:%20void%200;" TargetMode="External"/><Relationship Id="rId15" Type="http://schemas.openxmlformats.org/officeDocument/2006/relationships/hyperlink" Target="javascript:%20void%200;" TargetMode="External"/><Relationship Id="rId23" Type="http://schemas.openxmlformats.org/officeDocument/2006/relationships/hyperlink" Target="javascript:%20void%200;" TargetMode="External"/><Relationship Id="rId28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19" Type="http://schemas.openxmlformats.org/officeDocument/2006/relationships/hyperlink" Target="javascript:%20void%200;" TargetMode="External"/><Relationship Id="rId4" Type="http://schemas.openxmlformats.org/officeDocument/2006/relationships/hyperlink" Target="javascript:%20void%200;" TargetMode="External"/><Relationship Id="rId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Relationship Id="rId22" Type="http://schemas.openxmlformats.org/officeDocument/2006/relationships/hyperlink" Target="javascript:%20void%200;" TargetMode="External"/><Relationship Id="rId27" Type="http://schemas.openxmlformats.org/officeDocument/2006/relationships/hyperlink" Target="javascript:%20void%200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1084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cp:lastPrinted>2016-11-02T14:26:00Z</cp:lastPrinted>
  <dcterms:created xsi:type="dcterms:W3CDTF">2016-11-02T14:22:00Z</dcterms:created>
  <dcterms:modified xsi:type="dcterms:W3CDTF">2016-11-02T14:27:00Z</dcterms:modified>
</cp:coreProperties>
</file>