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4312" w:rsidRDefault="00ED426F">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6224905</wp:posOffset>
                </wp:positionV>
                <wp:extent cx="3667125" cy="147637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76375"/>
                        </a:xfrm>
                        <a:prstGeom prst="rect">
                          <a:avLst/>
                        </a:prstGeom>
                        <a:solidFill>
                          <a:srgbClr val="FFFFFF"/>
                        </a:solidFill>
                        <a:ln w="9525">
                          <a:solidFill>
                            <a:srgbClr val="000000"/>
                          </a:solidFill>
                          <a:miter lim="800000"/>
                          <a:headEnd/>
                          <a:tailEnd/>
                        </a:ln>
                      </wps:spPr>
                      <wps:txbx>
                        <w:txbxContent>
                          <w:p w:rsidR="00ED426F" w:rsidRPr="00ED426F" w:rsidRDefault="00ED426F" w:rsidP="00ED426F">
                            <w:pPr>
                              <w:pStyle w:val="md04txtPOLEukoly"/>
                              <w:rPr>
                                <w:sz w:val="24"/>
                                <w:szCs w:val="24"/>
                              </w:rPr>
                            </w:pPr>
                            <w:r>
                              <w:t>1</w:t>
                            </w:r>
                            <w:r w:rsidRPr="00ED426F">
                              <w:rPr>
                                <w:sz w:val="24"/>
                                <w:szCs w:val="24"/>
                              </w:rPr>
                              <w:t xml:space="preserve">:  Jaký byl podle úryvku vlastní cíl Hitlerovy válečné kampaně a proč? </w:t>
                            </w:r>
                          </w:p>
                          <w:p w:rsidR="00ED426F" w:rsidRPr="00ED426F" w:rsidRDefault="00ED426F" w:rsidP="00ED426F">
                            <w:pPr>
                              <w:pStyle w:val="md04txtPOLEukoly"/>
                              <w:rPr>
                                <w:sz w:val="24"/>
                                <w:szCs w:val="24"/>
                              </w:rPr>
                            </w:pPr>
                            <w:r>
                              <w:rPr>
                                <w:sz w:val="24"/>
                                <w:szCs w:val="24"/>
                              </w:rPr>
                              <w:t>2</w:t>
                            </w:r>
                            <w:r w:rsidRPr="00ED426F">
                              <w:rPr>
                                <w:sz w:val="24"/>
                                <w:szCs w:val="24"/>
                              </w:rPr>
                              <w:t xml:space="preserve">:  Která událost mohla způsobit v úryvku zmiňovaný obrat v britské a francouzské politice mírového usmiřování fašistických diktátorů? </w:t>
                            </w:r>
                          </w:p>
                          <w:p w:rsidR="00ED426F" w:rsidRPr="00ED426F" w:rsidRDefault="00ED426F" w:rsidP="00ED426F">
                            <w:pPr>
                              <w:pStyle w:val="md04txtPOLEukoly"/>
                              <w:rPr>
                                <w:sz w:val="24"/>
                                <w:szCs w:val="24"/>
                              </w:rPr>
                            </w:pPr>
                            <w:r>
                              <w:rPr>
                                <w:sz w:val="24"/>
                                <w:szCs w:val="24"/>
                              </w:rPr>
                              <w:t>3</w:t>
                            </w:r>
                            <w:r w:rsidRPr="00ED426F">
                              <w:rPr>
                                <w:sz w:val="24"/>
                                <w:szCs w:val="24"/>
                              </w:rPr>
                              <w:t xml:space="preserve">: Jaké vojenské motivy vedly Německo k podpisu sovětsko-německé smlouvy o neútočení v srpnu 1939? </w:t>
                            </w:r>
                          </w:p>
                          <w:p w:rsidR="00ED426F" w:rsidRPr="00216BD9" w:rsidRDefault="00ED426F" w:rsidP="00ED426F">
                            <w:pPr>
                              <w:pStyle w:val="md04txtPOLEukoly"/>
                            </w:pPr>
                          </w:p>
                          <w:p w:rsidR="00ED426F" w:rsidRPr="00C40D76" w:rsidRDefault="00ED426F" w:rsidP="00ED42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70.9pt;margin-top:490.15pt;width:288.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">
                <v:textbox>
                  <w:txbxContent>
                    <w:p w:rsidR="00ED426F" w:rsidRPr="00ED426F" w:rsidRDefault="00ED426F" w:rsidP="00ED426F">
                      <w:pPr>
                        <w:pStyle w:val="md04txtPOLEukoly"/>
                        <w:rPr>
                          <w:sz w:val="24"/>
                          <w:szCs w:val="24"/>
                        </w:rPr>
                      </w:pPr>
                      <w:r>
                        <w:t>1</w:t>
                      </w:r>
                      <w:r w:rsidRPr="00ED426F">
                        <w:rPr>
                          <w:sz w:val="24"/>
                          <w:szCs w:val="24"/>
                        </w:rPr>
                        <w:t xml:space="preserve">:  Jaký byl podle úryvku vlastní cíl Hitlerovy válečné kampaně a proč? </w:t>
                      </w:r>
                    </w:p>
                    <w:p w:rsidR="00ED426F" w:rsidRPr="00ED426F" w:rsidRDefault="00ED426F" w:rsidP="00ED426F">
                      <w:pPr>
                        <w:pStyle w:val="md04txtPOLEukoly"/>
                        <w:rPr>
                          <w:sz w:val="24"/>
                          <w:szCs w:val="24"/>
                        </w:rPr>
                      </w:pPr>
                      <w:r>
                        <w:rPr>
                          <w:sz w:val="24"/>
                          <w:szCs w:val="24"/>
                        </w:rPr>
                        <w:t>2</w:t>
                      </w:r>
                      <w:r w:rsidRPr="00ED426F">
                        <w:rPr>
                          <w:sz w:val="24"/>
                          <w:szCs w:val="24"/>
                        </w:rPr>
                        <w:t xml:space="preserve">:  Která událost mohla způsobit v úryvku zmiňovaný obrat v britské a francouzské politice mírového usmiřování fašistických diktátorů? </w:t>
                      </w:r>
                    </w:p>
                    <w:p w:rsidR="00ED426F" w:rsidRPr="00ED426F" w:rsidRDefault="00ED426F" w:rsidP="00ED426F">
                      <w:pPr>
                        <w:pStyle w:val="md04txtPOLEukoly"/>
                        <w:rPr>
                          <w:sz w:val="24"/>
                          <w:szCs w:val="24"/>
                        </w:rPr>
                      </w:pPr>
                      <w:r>
                        <w:rPr>
                          <w:sz w:val="24"/>
                          <w:szCs w:val="24"/>
                        </w:rPr>
                        <w:t>3</w:t>
                      </w:r>
                      <w:r w:rsidRPr="00ED426F">
                        <w:rPr>
                          <w:sz w:val="24"/>
                          <w:szCs w:val="24"/>
                        </w:rPr>
                        <w:t xml:space="preserve">: Jaké vojenské motivy vedly Německo k podpisu sovětsko-německé smlouvy o neútočení v srpnu 1939? </w:t>
                      </w:r>
                    </w:p>
                    <w:p w:rsidR="00ED426F" w:rsidRPr="00216BD9" w:rsidRDefault="00ED426F" w:rsidP="00ED426F">
                      <w:pPr>
                        <w:pStyle w:val="md04txtPOLEukoly"/>
                      </w:pPr>
                    </w:p>
                    <w:p w:rsidR="00ED426F" w:rsidRPr="00C40D76" w:rsidRDefault="00ED426F" w:rsidP="00ED426F"/>
                  </w:txbxContent>
                </v:textbox>
              </v:shape>
            </w:pict>
          </mc:Fallback>
        </mc:AlternateContent>
      </w:r>
      <w:r>
        <w:rPr>
          <w:noProof/>
          <w:lang w:eastAsia="cs-CZ"/>
        </w:rPr>
        <mc:AlternateContent>
          <mc:Choice Requires="wps">
            <w:drawing>
              <wp:anchor distT="0" distB="0" distL="114300" distR="114300" simplePos="0" relativeHeight="251658240" behindDoc="0" locked="1" layoutInCell="0" allowOverlap="0">
                <wp:simplePos x="0" y="0"/>
                <wp:positionH relativeFrom="page">
                  <wp:posOffset>1809750</wp:posOffset>
                </wp:positionH>
                <wp:positionV relativeFrom="margin">
                  <wp:align>top</wp:align>
                </wp:positionV>
                <wp:extent cx="3676650" cy="5305425"/>
                <wp:effectExtent l="0" t="0" r="1905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305425"/>
                        </a:xfrm>
                        <a:prstGeom prst="rect">
                          <a:avLst/>
                        </a:prstGeom>
                        <a:solidFill>
                          <a:srgbClr val="FFFFE1"/>
                        </a:solidFill>
                        <a:ln w="9525">
                          <a:solidFill>
                            <a:srgbClr val="000000"/>
                          </a:solidFill>
                          <a:miter lim="800000"/>
                          <a:headEnd/>
                          <a:tailEnd/>
                        </a:ln>
                      </wps:spPr>
                      <wps:txbx>
                        <w:txbxContent>
                          <w:p w:rsidR="00ED426F" w:rsidRDefault="00ED426F" w:rsidP="00ED426F">
                            <w:pPr>
                              <w:pStyle w:val="md02popisUKOLUtxt"/>
                            </w:pPr>
                            <w:r>
                              <w:rPr>
                                <w:sz w:val="20"/>
                                <w:szCs w:val="20"/>
                              </w:rPr>
                              <w:t>.</w:t>
                            </w:r>
                          </w:p>
                          <w:p w:rsidR="00ED426F" w:rsidRPr="00ED426F" w:rsidRDefault="00ED426F" w:rsidP="00ED426F">
                            <w:pPr>
                              <w:pStyle w:val="md03ukazkaTXT"/>
                              <w:rPr>
                                <w:sz w:val="24"/>
                                <w:szCs w:val="24"/>
                              </w:rPr>
                            </w:pPr>
                            <w:r w:rsidRPr="00ED426F">
                              <w:rPr>
                                <w:sz w:val="24"/>
                                <w:szCs w:val="24"/>
                              </w:rPr>
                              <w:t xml:space="preserve">Tento </w:t>
                            </w:r>
                            <w:r w:rsidRPr="00ED426F">
                              <w:rPr>
                                <w:rFonts w:cs="Times"/>
                                <w:sz w:val="24"/>
                                <w:szCs w:val="24"/>
                              </w:rPr>
                              <w:t>[</w:t>
                            </w:r>
                            <w:r w:rsidR="000D0469">
                              <w:rPr>
                                <w:sz w:val="24"/>
                                <w:szCs w:val="24"/>
                              </w:rPr>
                              <w:t>Hitlerův</w:t>
                            </w:r>
                            <w:r w:rsidRPr="00ED426F">
                              <w:rPr>
                                <w:rFonts w:cs="Times"/>
                                <w:sz w:val="24"/>
                                <w:szCs w:val="24"/>
                              </w:rPr>
                              <w:t>]</w:t>
                            </w:r>
                            <w:r w:rsidRPr="00ED426F">
                              <w:rPr>
                                <w:sz w:val="24"/>
                                <w:szCs w:val="24"/>
                              </w:rPr>
                              <w:t xml:space="preserve"> postup vyvolal v březnu roku 1939 v Londýně poplach. </w:t>
                            </w:r>
                            <w:proofErr w:type="spellStart"/>
                            <w:r w:rsidRPr="00ED426F">
                              <w:rPr>
                                <w:sz w:val="24"/>
                                <w:szCs w:val="24"/>
                              </w:rPr>
                              <w:t>Chamberlainova</w:t>
                            </w:r>
                            <w:proofErr w:type="spellEnd"/>
                            <w:r w:rsidRPr="00ED426F">
                              <w:rPr>
                                <w:sz w:val="24"/>
                                <w:szCs w:val="24"/>
                              </w:rPr>
                              <w:t xml:space="preserve"> vláda sice ještě nevzdala „appeasement“, ale metoda politiky appeasementu byla nyní změněna. Dosud se jednalo jen prostřednictvím slibů a ústupků, od nynějška se pracovalo také s hrozbami: Bude-li Hitler pokračovat ve své politice svémocného roztahování se na východ, narazí na své cestě na Anglii. Symbolem této hrozby byla anglická garance Polska, která byla poskytnuta koncem března, kdy Polsko odmítlo spojení s Hitlerem proti Rusku.</w:t>
                            </w:r>
                          </w:p>
                          <w:p w:rsidR="00ED426F" w:rsidRPr="00ED426F" w:rsidRDefault="00ED426F" w:rsidP="00ED426F">
                            <w:pPr>
                              <w:pStyle w:val="md03ukazkaTXT"/>
                              <w:rPr>
                                <w:sz w:val="24"/>
                                <w:szCs w:val="24"/>
                              </w:rPr>
                            </w:pPr>
                            <w:r w:rsidRPr="00ED426F">
                              <w:rPr>
                                <w:sz w:val="24"/>
                                <w:szCs w:val="24"/>
                              </w:rPr>
                              <w:t>Hitler byl v nové situaci. Sám ji shrnul slovy, která pronesl tři týdny před vypuknutím války (…): „Všechno, co podnikám, je namířeno proti Rusku. Když je Západ tak příliš hloupý a slepý na to, aby to pochopil, budu nucen se s Ruskem domluvit, Západ porazit, a pak, po jeho porážce, se obrátit se svými sebranými silami proti Rusku.“</w:t>
                            </w:r>
                          </w:p>
                          <w:p w:rsidR="00ED426F" w:rsidRPr="00ED426F" w:rsidRDefault="00ED426F" w:rsidP="00ED426F">
                            <w:pPr>
                              <w:pStyle w:val="md03ukazkaTXT"/>
                              <w:rPr>
                                <w:sz w:val="24"/>
                                <w:szCs w:val="24"/>
                              </w:rPr>
                            </w:pPr>
                            <w:r w:rsidRPr="00ED426F">
                              <w:rPr>
                                <w:sz w:val="24"/>
                                <w:szCs w:val="24"/>
                              </w:rPr>
                              <w:t>Tato slova obsahovala klíč k vypuknutí druhé světové války. Přesně to byl Hitlerův improvizovaný nový program, podle kterého probíhala druhá světová válka v prvních dvou letech. Hitler se nejdříve dohodl se Sovětským svazem, obrátil se nejprve společně se Sovětským svazem proti Polsku, pak se sovětským krytím zad proti Západu, a teprve pak, jak to bylo od začátku plánováno, se svými „sebranými silami“ proti Sovětskému svazu.</w:t>
                            </w:r>
                          </w:p>
                          <w:p w:rsidR="00ED426F" w:rsidRPr="00ED426F" w:rsidRDefault="00ED426F" w:rsidP="00ED426F">
                            <w:pPr>
                              <w:pStyle w:val="md03ukazkaTXT"/>
                              <w:rPr>
                                <w:rStyle w:val="md03ukazkaTXTzdroj"/>
                                <w:sz w:val="24"/>
                                <w:szCs w:val="24"/>
                              </w:rPr>
                            </w:pPr>
                            <w:r w:rsidRPr="00ED426F">
                              <w:rPr>
                                <w:rStyle w:val="md03ukazkaTXTzdroj"/>
                                <w:sz w:val="24"/>
                                <w:szCs w:val="24"/>
                              </w:rPr>
                              <w:t xml:space="preserve">Sebastian </w:t>
                            </w:r>
                            <w:proofErr w:type="spellStart"/>
                            <w:r w:rsidRPr="00ED426F">
                              <w:rPr>
                                <w:rStyle w:val="md03ukazkaTXTzdroj"/>
                                <w:sz w:val="24"/>
                                <w:szCs w:val="24"/>
                              </w:rPr>
                              <w:t>Haffner</w:t>
                            </w:r>
                            <w:proofErr w:type="spellEnd"/>
                            <w:r w:rsidRPr="00ED426F">
                              <w:rPr>
                                <w:rStyle w:val="md03ukazkaTXTzdroj"/>
                                <w:sz w:val="24"/>
                                <w:szCs w:val="24"/>
                              </w:rPr>
                              <w:t>: Od Bismarcka k </w:t>
                            </w:r>
                            <w:proofErr w:type="spellStart"/>
                            <w:r w:rsidRPr="00ED426F">
                              <w:rPr>
                                <w:rStyle w:val="md03ukazkaTXTzdroj"/>
                                <w:sz w:val="24"/>
                                <w:szCs w:val="24"/>
                              </w:rPr>
                              <w:t>Hitlerov</w:t>
                            </w:r>
                            <w:proofErr w:type="spellEnd"/>
                            <w:r w:rsidRPr="00ED426F">
                              <w:rPr>
                                <w:rStyle w:val="md03ukazkaTXTzdroj"/>
                                <w:sz w:val="24"/>
                                <w:szCs w:val="24"/>
                              </w:rPr>
                              <w:t>, přeložil Lumír Wolf, redakčně upraveno</w:t>
                            </w: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7" type="#_x0000_t202" style="position:absolute;margin-left:142.5pt;margin-top:0;width:289.5pt;height:417.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" o:allowincell="f" o:allowoverlap="f" fillcolor="#ffffe1">
                <v:textbox inset="1.5mm,2mm,1.5mm,2mm">
                  <w:txbxContent>
                    <w:p w:rsidR="00ED426F" w:rsidRDefault="00ED426F" w:rsidP="00ED426F">
                      <w:pPr>
                        <w:pStyle w:val="md02popisUKOLUtxt"/>
                      </w:pPr>
                      <w:r>
                        <w:rPr>
                          <w:sz w:val="20"/>
                          <w:szCs w:val="20"/>
                        </w:rPr>
                        <w:t>.</w:t>
                      </w:r>
                    </w:p>
                    <w:p w:rsidR="00ED426F" w:rsidRPr="00ED426F" w:rsidRDefault="00ED426F" w:rsidP="00ED426F">
                      <w:pPr>
                        <w:pStyle w:val="md03ukazkaTXT"/>
                        <w:rPr>
                          <w:sz w:val="24"/>
                          <w:szCs w:val="24"/>
                        </w:rPr>
                      </w:pPr>
                      <w:r w:rsidRPr="00ED426F">
                        <w:rPr>
                          <w:sz w:val="24"/>
                          <w:szCs w:val="24"/>
                        </w:rPr>
                        <w:t xml:space="preserve">Tento </w:t>
                      </w:r>
                      <w:r w:rsidRPr="00ED426F">
                        <w:rPr>
                          <w:rFonts w:cs="Times"/>
                          <w:sz w:val="24"/>
                          <w:szCs w:val="24"/>
                        </w:rPr>
                        <w:t>[</w:t>
                      </w:r>
                      <w:r w:rsidR="000D0469">
                        <w:rPr>
                          <w:sz w:val="24"/>
                          <w:szCs w:val="24"/>
                        </w:rPr>
                        <w:t>Hitlerův</w:t>
                      </w:r>
                      <w:r w:rsidRPr="00ED426F">
                        <w:rPr>
                          <w:rFonts w:cs="Times"/>
                          <w:sz w:val="24"/>
                          <w:szCs w:val="24"/>
                        </w:rPr>
                        <w:t>]</w:t>
                      </w:r>
                      <w:r w:rsidRPr="00ED426F">
                        <w:rPr>
                          <w:sz w:val="24"/>
                          <w:szCs w:val="24"/>
                        </w:rPr>
                        <w:t xml:space="preserve"> postup vyvolal v březnu roku 1939 v Londýně poplach. </w:t>
                      </w:r>
                      <w:proofErr w:type="spellStart"/>
                      <w:r w:rsidRPr="00ED426F">
                        <w:rPr>
                          <w:sz w:val="24"/>
                          <w:szCs w:val="24"/>
                        </w:rPr>
                        <w:t>Chamberlainova</w:t>
                      </w:r>
                      <w:proofErr w:type="spellEnd"/>
                      <w:r w:rsidRPr="00ED426F">
                        <w:rPr>
                          <w:sz w:val="24"/>
                          <w:szCs w:val="24"/>
                        </w:rPr>
                        <w:t xml:space="preserve"> vláda sice ještě nevzdala „appeasement“, ale metoda politiky appeasementu byla nyní změněna. Dosud se jednalo jen prostřednictvím slibů a ústupků, od nynějška se pracovalo také s hrozbami: Bude-li Hitler pokračovat ve své politice svémocného roztahování se na východ, narazí na své cestě na Anglii. Symbolem této hrozby byla anglická garance Polska, která byla poskytnuta koncem března, kdy Polsko odmítlo spojení s Hitlerem proti Rusku.</w:t>
                      </w:r>
                    </w:p>
                    <w:p w:rsidR="00ED426F" w:rsidRPr="00ED426F" w:rsidRDefault="00ED426F" w:rsidP="00ED426F">
                      <w:pPr>
                        <w:pStyle w:val="md03ukazkaTXT"/>
                        <w:rPr>
                          <w:sz w:val="24"/>
                          <w:szCs w:val="24"/>
                        </w:rPr>
                      </w:pPr>
                      <w:r w:rsidRPr="00ED426F">
                        <w:rPr>
                          <w:sz w:val="24"/>
                          <w:szCs w:val="24"/>
                        </w:rPr>
                        <w:t>Hitler byl v nové situaci. Sám ji shrnul slovy, která pronesl tři týdny před vypuknutím války (…): „Všechno, co podnikám, je namířeno proti Rusku. Když je Západ tak příliš hloupý a slepý na to, aby to pochopil, budu nucen se s Ruskem domluvit, Západ porazit, a pak, po jeho porážce, se obrátit se svými sebranými silami proti Rusku.“</w:t>
                      </w:r>
                    </w:p>
                    <w:p w:rsidR="00ED426F" w:rsidRPr="00ED426F" w:rsidRDefault="00ED426F" w:rsidP="00ED426F">
                      <w:pPr>
                        <w:pStyle w:val="md03ukazkaTXT"/>
                        <w:rPr>
                          <w:sz w:val="24"/>
                          <w:szCs w:val="24"/>
                        </w:rPr>
                      </w:pPr>
                      <w:r w:rsidRPr="00ED426F">
                        <w:rPr>
                          <w:sz w:val="24"/>
                          <w:szCs w:val="24"/>
                        </w:rPr>
                        <w:t>Tato slova obsahovala klíč k vypuknutí druhé světové války. Přesně to byl Hitlerův improvizovaný nový program, podle kterého probíhala druhá světová válka v prvních dvou letech. Hitler se nejdříve dohodl se Sovětským svazem, obrátil se nejprve společně se Sovětským svazem proti Polsku, pak se sovětským krytím zad proti Západu, a teprve pak, jak to bylo od začátku plánováno, se svými „sebranými silami“ proti Sovětskému svazu.</w:t>
                      </w:r>
                    </w:p>
                    <w:p w:rsidR="00ED426F" w:rsidRPr="00ED426F" w:rsidRDefault="00ED426F" w:rsidP="00ED426F">
                      <w:pPr>
                        <w:pStyle w:val="md03ukazkaTXT"/>
                        <w:rPr>
                          <w:rStyle w:val="md03ukazkaTXTzdroj"/>
                          <w:sz w:val="24"/>
                          <w:szCs w:val="24"/>
                        </w:rPr>
                      </w:pPr>
                      <w:r w:rsidRPr="00ED426F">
                        <w:rPr>
                          <w:rStyle w:val="md03ukazkaTXTzdroj"/>
                          <w:sz w:val="24"/>
                          <w:szCs w:val="24"/>
                        </w:rPr>
                        <w:t xml:space="preserve">Sebastian </w:t>
                      </w:r>
                      <w:proofErr w:type="spellStart"/>
                      <w:r w:rsidRPr="00ED426F">
                        <w:rPr>
                          <w:rStyle w:val="md03ukazkaTXTzdroj"/>
                          <w:sz w:val="24"/>
                          <w:szCs w:val="24"/>
                        </w:rPr>
                        <w:t>Haffner</w:t>
                      </w:r>
                      <w:proofErr w:type="spellEnd"/>
                      <w:r w:rsidRPr="00ED426F">
                        <w:rPr>
                          <w:rStyle w:val="md03ukazkaTXTzdroj"/>
                          <w:sz w:val="24"/>
                          <w:szCs w:val="24"/>
                        </w:rPr>
                        <w:t>: Od Bismarcka k </w:t>
                      </w:r>
                      <w:proofErr w:type="spellStart"/>
                      <w:r w:rsidRPr="00ED426F">
                        <w:rPr>
                          <w:rStyle w:val="md03ukazkaTXTzdroj"/>
                          <w:sz w:val="24"/>
                          <w:szCs w:val="24"/>
                        </w:rPr>
                        <w:t>Hitlerov</w:t>
                      </w:r>
                      <w:proofErr w:type="spellEnd"/>
                      <w:r w:rsidRPr="00ED426F">
                        <w:rPr>
                          <w:rStyle w:val="md03ukazkaTXTzdroj"/>
                          <w:sz w:val="24"/>
                          <w:szCs w:val="24"/>
                        </w:rPr>
                        <w:t>, přeložil Lumír Wolf, redakčně upraveno</w:t>
                      </w:r>
                    </w:p>
                  </w:txbxContent>
                </v:textbox>
                <w10:wrap anchorx="page" anchory="margin"/>
                <w10:anchorlock/>
              </v:shape>
            </w:pict>
          </mc:Fallback>
        </mc:AlternateContent>
      </w:r>
    </w:p>
    <w:sectPr w:rsidR="00294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Myriad Pro Cond">
    <w:altName w:val="Franklin Gothic Medium Cond"/>
    <w:panose1 w:val="00000000000000000000"/>
    <w:charset w:val="00"/>
    <w:family w:val="swiss"/>
    <w:notTrueType/>
    <w:pitch w:val="variable"/>
    <w:sig w:usb0="00000001" w:usb1="5000204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6F"/>
    <w:rsid w:val="000D0469"/>
    <w:rsid w:val="00294312"/>
    <w:rsid w:val="00ED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2AFD"/>
  <w15:chartTrackingRefBased/>
  <w15:docId w15:val="{3EEA1824-8C53-4674-A0FA-E4A36248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03ukazkaTXT">
    <w:name w:val="md 03 ukazkaTXT"/>
    <w:basedOn w:val="Normln"/>
    <w:uiPriority w:val="99"/>
    <w:rsid w:val="00ED426F"/>
    <w:pPr>
      <w:autoSpaceDE w:val="0"/>
      <w:autoSpaceDN w:val="0"/>
      <w:adjustRightInd w:val="0"/>
      <w:spacing w:after="0" w:line="240" w:lineRule="auto"/>
      <w:textAlignment w:val="center"/>
    </w:pPr>
    <w:rPr>
      <w:rFonts w:ascii="Times" w:eastAsia="Calibri" w:hAnsi="Times" w:cs="Minion Pro"/>
      <w:color w:val="000000"/>
      <w:sz w:val="19"/>
      <w:szCs w:val="19"/>
      <w:lang w:eastAsia="cs-CZ"/>
    </w:rPr>
  </w:style>
  <w:style w:type="paragraph" w:customStyle="1" w:styleId="md02popisUKOLUtxt">
    <w:name w:val="md 02 popisUKOLU_txt"/>
    <w:basedOn w:val="Normln"/>
    <w:uiPriority w:val="99"/>
    <w:rsid w:val="00ED426F"/>
    <w:pPr>
      <w:suppressAutoHyphens/>
      <w:autoSpaceDE w:val="0"/>
      <w:autoSpaceDN w:val="0"/>
      <w:adjustRightInd w:val="0"/>
      <w:spacing w:after="0" w:line="240" w:lineRule="auto"/>
      <w:textAlignment w:val="center"/>
    </w:pPr>
    <w:rPr>
      <w:rFonts w:ascii="Calibri" w:eastAsia="Calibri" w:hAnsi="Calibri" w:cs="Calibri"/>
      <w:color w:val="0070C0"/>
      <w:sz w:val="19"/>
      <w:szCs w:val="19"/>
      <w:lang w:eastAsia="cs-CZ"/>
    </w:rPr>
  </w:style>
  <w:style w:type="character" w:customStyle="1" w:styleId="md03ukazkaTXTzdroj">
    <w:name w:val="md 03 ukazkaTXT_zdroj"/>
    <w:uiPriority w:val="99"/>
    <w:rsid w:val="00ED426F"/>
    <w:rPr>
      <w:rFonts w:ascii="Times" w:hAnsi="Times"/>
      <w:i/>
      <w:iCs/>
      <w:color w:val="000000"/>
    </w:rPr>
  </w:style>
  <w:style w:type="paragraph" w:customStyle="1" w:styleId="md04txtPOLEukoly">
    <w:name w:val="md 04 txtPOLE_ukoly"/>
    <w:basedOn w:val="Normln"/>
    <w:uiPriority w:val="99"/>
    <w:rsid w:val="00ED426F"/>
    <w:pPr>
      <w:autoSpaceDE w:val="0"/>
      <w:autoSpaceDN w:val="0"/>
      <w:adjustRightInd w:val="0"/>
      <w:spacing w:after="0" w:line="240" w:lineRule="auto"/>
      <w:ind w:left="142" w:hanging="142"/>
      <w:textAlignment w:val="center"/>
    </w:pPr>
    <w:rPr>
      <w:rFonts w:ascii="Times" w:eastAsia="Calibri" w:hAnsi="Times" w:cs="Myriad Pro Cond"/>
      <w:color w:val="000000"/>
      <w:sz w:val="18"/>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Němec</dc:creator>
  <cp:keywords/>
  <dc:description/>
  <cp:lastModifiedBy>Jiří Němec</cp:lastModifiedBy>
  <cp:revision>3</cp:revision>
  <dcterms:created xsi:type="dcterms:W3CDTF">2017-03-08T13:13:00Z</dcterms:created>
  <dcterms:modified xsi:type="dcterms:W3CDTF">2017-03-15T12:41:00Z</dcterms:modified>
</cp:coreProperties>
</file>