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12" w:rsidRDefault="00535499">
      <w:r w:rsidRPr="00535499">
        <w:rPr>
          <w:noProof/>
          <w:sz w:val="24"/>
          <w:szCs w:val="24"/>
        </w:rPr>
        <w:drawing>
          <wp:inline distT="0" distB="0" distL="0" distR="0" wp14:anchorId="24E7C9F5" wp14:editId="6B3B8BF3">
            <wp:extent cx="5048250" cy="2152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>
                <wp:simplePos x="0" y="0"/>
                <wp:positionH relativeFrom="page">
                  <wp:posOffset>1943100</wp:posOffset>
                </wp:positionH>
                <wp:positionV relativeFrom="page">
                  <wp:posOffset>3752850</wp:posOffset>
                </wp:positionV>
                <wp:extent cx="3590925" cy="532447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32447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99" w:rsidRPr="00535499" w:rsidRDefault="00535499" w:rsidP="00535499">
                            <w:pPr>
                              <w:pStyle w:val="md03ukazkaTXT"/>
                              <w:rPr>
                                <w:sz w:val="24"/>
                                <w:szCs w:val="24"/>
                              </w:rPr>
                            </w:pPr>
                            <w:r w:rsidRPr="00535499">
                              <w:rPr>
                                <w:sz w:val="24"/>
                                <w:szCs w:val="24"/>
                              </w:rPr>
                              <w:t xml:space="preserve">Ve dnech české krize podal anglický velvyslanec z Berlína tuto zprávu: „Nálada je zde rozhodně proti válce, ale národ je bezmocně v rukou nacistického systému (…). Lidé jsou jako ovce, které vedou na jatka. Propukne-li válka, budou pochodovat a plnit své povinnosti přinejmenším nějaký čas.“ Tento dobrý postřeh platil pro rok 1939 stejně jako o rok dříve. Izolovaná, poštvaná a podvedená část Němců – jen část – přijala Hitlerovo alibi, kterému jinak na světě nikdo nevěřil – vskutku věřili, že ještě v poslední hodině byla učiněna přijatelná nabídka, kterou slepí, fanatičtí Poláci odmítli. Věřili dokonce také tomu, že došlo k polskému útoku, který Hitler dal </w:t>
                            </w:r>
                            <w:proofErr w:type="spellStart"/>
                            <w:r w:rsidRPr="00535499">
                              <w:rPr>
                                <w:sz w:val="24"/>
                                <w:szCs w:val="24"/>
                              </w:rPr>
                              <w:t>nainscenovat</w:t>
                            </w:r>
                            <w:proofErr w:type="spellEnd"/>
                            <w:r w:rsidRPr="00535499">
                              <w:rPr>
                                <w:sz w:val="24"/>
                                <w:szCs w:val="24"/>
                              </w:rPr>
                              <w:t xml:space="preserve"> za pomoci odsouzených zločinců, oblečených do polských uniforem a na místě činu pak postřílených. Ale i ti, kteří na tuto nevýslovnou špínu nevěřili, museli přesto poslouchat a plnit svěřené úkoly. Tak daleko to došlo po šesti letech nacistické vlády, která zatínala své drápy stále hlouběji; jediný člověk mohl rozkazovat, co chtěl. Pětasedmdesát miliónů lidí ho následovalo. Poslouchali ho bez nadšení, věřili mu bez radosti (…). Vítězství nepřinášela radost, ať se propaganda snažila jakkoliv vybičovat v národě hrdost a nenávist; byla přijímána lhostejně. Porážky potvrzovaly to, co většina od počátku v skrytu duše tušila – zájem vzbuzovala jen ta vítězství, která se zdála přibližovat válku ke konci.</w:t>
                            </w:r>
                          </w:p>
                          <w:p w:rsidR="00535499" w:rsidRPr="00535499" w:rsidRDefault="00535499" w:rsidP="00535499">
                            <w:pPr>
                              <w:pStyle w:val="md03ukazkaTXT"/>
                              <w:rPr>
                                <w:rStyle w:val="md03ukazkaTXTzdroj"/>
                                <w:sz w:val="24"/>
                                <w:szCs w:val="24"/>
                              </w:rPr>
                            </w:pPr>
                            <w:r w:rsidRPr="00535499">
                              <w:rPr>
                                <w:rStyle w:val="md03ukazkaTXTzdroj"/>
                                <w:sz w:val="24"/>
                                <w:szCs w:val="24"/>
                              </w:rPr>
                              <w:t>Golo Mann: Dějiny Německa 1919–1945, přeložil Jan Havránek, redakčně upraveno</w:t>
                            </w:r>
                          </w:p>
                          <w:p w:rsidR="00535499" w:rsidRDefault="00535499" w:rsidP="00535499">
                            <w:pPr>
                              <w:pStyle w:val="md02popisUKOLUtxt"/>
                            </w:pPr>
                          </w:p>
                        </w:txbxContent>
                      </wps:txbx>
                      <wps:bodyPr rot="0" vert="horz" wrap="square" lIns="54000" tIns="72000" rIns="54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3pt;margin-top:295.5pt;width:282.75pt;height:4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" o:allowincell="f" o:allowoverlap="f" fillcolor="#ffffe1">
                <v:textbox inset="1.5mm,2mm,1.5mm,2mm">
                  <w:txbxContent>
                    <w:p w:rsidR="00535499" w:rsidRPr="00535499" w:rsidRDefault="00535499" w:rsidP="00535499">
                      <w:pPr>
                        <w:pStyle w:val="md03ukazkaTXT"/>
                        <w:rPr>
                          <w:sz w:val="24"/>
                          <w:szCs w:val="24"/>
                        </w:rPr>
                      </w:pPr>
                      <w:r w:rsidRPr="00535499">
                        <w:rPr>
                          <w:sz w:val="24"/>
                          <w:szCs w:val="24"/>
                        </w:rPr>
                        <w:t xml:space="preserve">Ve dnech české krize podal anglický velvyslanec z Berlína tuto zprávu: „Nálada je zde rozhodně proti válce, ale národ je bezmocně v rukou nacistického systému (…). Lidé jsou jako ovce, které vedou na jatka. Propukne-li válka, budou pochodovat a plnit své povinnosti přinejmenším nějaký čas.“ Tento dobrý postřeh platil pro rok 1939 stejně jako o rok dříve. Izolovaná, poštvaná a podvedená část Němců – jen část – přijala Hitlerovo alibi, kterému jinak na světě nikdo nevěřil – vskutku věřili, že ještě v poslední hodině byla učiněna přijatelná nabídka, kterou slepí, fanatičtí Poláci odmítli. Věřili dokonce také tomu, že došlo k polskému útoku, který Hitler dal </w:t>
                      </w:r>
                      <w:proofErr w:type="spellStart"/>
                      <w:r w:rsidRPr="00535499">
                        <w:rPr>
                          <w:sz w:val="24"/>
                          <w:szCs w:val="24"/>
                        </w:rPr>
                        <w:t>nainscenovat</w:t>
                      </w:r>
                      <w:proofErr w:type="spellEnd"/>
                      <w:r w:rsidRPr="00535499">
                        <w:rPr>
                          <w:sz w:val="24"/>
                          <w:szCs w:val="24"/>
                        </w:rPr>
                        <w:t xml:space="preserve"> za pomoci odsouzených zločinců, oblečených do polských uniforem a na místě činu pak postřílených. Ale i ti, kteří na tuto nevýslovnou špínu nevěřili, museli přesto poslouchat a plnit svěřené úkoly. Tak daleko to došlo po šesti letech nacistické vlády, která zatínala své drápy stále hlouběji; jediný člověk mohl rozkazovat, co chtěl. Pětasedmdesát miliónů lidí ho následovalo. Poslouchali ho bez nadšení, věřili mu bez radosti (…). Vítězství nepřinášela radost, ať se propaganda snažila jakkoliv vybičovat v národě hrdost a nenávist; byla přijímána lhostejně. Porážky potvrzovaly to, co většina od počátku v skrytu duše tušila – zájem vzbuzovala jen ta vítězství, která se zdála přibližovat válku ke konci.</w:t>
                      </w:r>
                    </w:p>
                    <w:p w:rsidR="00535499" w:rsidRPr="00535499" w:rsidRDefault="00535499" w:rsidP="00535499">
                      <w:pPr>
                        <w:pStyle w:val="md03ukazkaTXT"/>
                        <w:rPr>
                          <w:rStyle w:val="md03ukazkaTXTzdroj"/>
                          <w:sz w:val="24"/>
                          <w:szCs w:val="24"/>
                        </w:rPr>
                      </w:pPr>
                      <w:r w:rsidRPr="00535499">
                        <w:rPr>
                          <w:rStyle w:val="md03ukazkaTXTzdroj"/>
                          <w:sz w:val="24"/>
                          <w:szCs w:val="24"/>
                        </w:rPr>
                        <w:t>Golo Mann: Dějiny Německa 1919–1945, přeložil Jan Havránek, redakčně upraveno</w:t>
                      </w:r>
                    </w:p>
                    <w:p w:rsidR="00535499" w:rsidRDefault="00535499" w:rsidP="00535499">
                      <w:pPr>
                        <w:pStyle w:val="md02popisUKOLUtx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29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Franklin Gothic Medium Cond"/>
    <w:charset w:val="00"/>
    <w:family w:val="swiss"/>
    <w:notTrueType/>
    <w:pitch w:val="variable"/>
    <w:sig w:usb0="00000001" w:usb1="5000204B" w:usb2="00000000" w:usb3="00000000" w:csb0="0000009F" w:csb1="00000000"/>
  </w:font>
  <w:font w:name="Minion Pro"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99"/>
    <w:rsid w:val="00294312"/>
    <w:rsid w:val="005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553C2-299E-4167-8708-3AF36C1A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04txtPOLEukoly">
    <w:name w:val="md 04 txtPOLE_ukoly"/>
    <w:basedOn w:val="Normln"/>
    <w:uiPriority w:val="99"/>
    <w:rsid w:val="00535499"/>
    <w:pPr>
      <w:autoSpaceDE w:val="0"/>
      <w:autoSpaceDN w:val="0"/>
      <w:adjustRightInd w:val="0"/>
      <w:spacing w:after="0" w:line="240" w:lineRule="auto"/>
      <w:ind w:left="142" w:hanging="142"/>
      <w:textAlignment w:val="center"/>
    </w:pPr>
    <w:rPr>
      <w:rFonts w:ascii="Times" w:eastAsia="Calibri" w:hAnsi="Times" w:cs="Myriad Pro Cond"/>
      <w:color w:val="000000"/>
      <w:sz w:val="18"/>
      <w:szCs w:val="19"/>
      <w:lang w:eastAsia="cs-CZ"/>
    </w:rPr>
  </w:style>
  <w:style w:type="paragraph" w:customStyle="1" w:styleId="md03ukazkaTXT">
    <w:name w:val="md 03 ukazkaTXT"/>
    <w:basedOn w:val="Normln"/>
    <w:uiPriority w:val="99"/>
    <w:rsid w:val="00535499"/>
    <w:pPr>
      <w:autoSpaceDE w:val="0"/>
      <w:autoSpaceDN w:val="0"/>
      <w:adjustRightInd w:val="0"/>
      <w:spacing w:after="0" w:line="240" w:lineRule="auto"/>
      <w:textAlignment w:val="center"/>
    </w:pPr>
    <w:rPr>
      <w:rFonts w:ascii="Times" w:eastAsia="Calibri" w:hAnsi="Times" w:cs="Minion Pro"/>
      <w:color w:val="000000"/>
      <w:sz w:val="19"/>
      <w:szCs w:val="19"/>
      <w:lang w:eastAsia="cs-CZ"/>
    </w:rPr>
  </w:style>
  <w:style w:type="paragraph" w:customStyle="1" w:styleId="md02popisUKOLUtxt">
    <w:name w:val="md 02 popisUKOLU_txt"/>
    <w:basedOn w:val="Normln"/>
    <w:uiPriority w:val="99"/>
    <w:rsid w:val="00535499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="Calibri" w:hAnsi="Calibri" w:cs="Calibri"/>
      <w:color w:val="0070C0"/>
      <w:sz w:val="19"/>
      <w:szCs w:val="19"/>
      <w:lang w:eastAsia="cs-CZ"/>
    </w:rPr>
  </w:style>
  <w:style w:type="character" w:customStyle="1" w:styleId="md03ukazkaTXTzdroj">
    <w:name w:val="md 03 ukazkaTXT_zdroj"/>
    <w:uiPriority w:val="99"/>
    <w:rsid w:val="00535499"/>
    <w:rPr>
      <w:rFonts w:ascii="Times" w:hAnsi="Times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1</cp:revision>
  <dcterms:created xsi:type="dcterms:W3CDTF">2017-03-08T13:15:00Z</dcterms:created>
  <dcterms:modified xsi:type="dcterms:W3CDTF">2017-03-08T13:18:00Z</dcterms:modified>
</cp:coreProperties>
</file>