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7A" w:rsidRDefault="00AE337A" w:rsidP="00AE337A">
      <w:pPr>
        <w:pStyle w:val="Nadpis1"/>
        <w:rPr>
          <w:lang w:val="es-ES"/>
        </w:rPr>
      </w:pPr>
      <w:bookmarkStart w:id="0" w:name="_GoBack"/>
      <w:bookmarkEnd w:id="0"/>
      <w:r>
        <w:rPr>
          <w:lang w:val="es-ES"/>
        </w:rPr>
        <w:t>Tema 3a. El español en América: cuestiones generales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Iberoamérica – Latinoamérica – Hispanoamérica</w:t>
      </w:r>
      <w:r w:rsidR="005C58B1">
        <w:rPr>
          <w:lang w:val="es-ES"/>
        </w:rPr>
        <w:t xml:space="preserve"> (cf. lecturas López Morales 2010)</w:t>
      </w:r>
    </w:p>
    <w:p w:rsidR="005C58B1" w:rsidRDefault="005C58B1" w:rsidP="00AE337A">
      <w:pPr>
        <w:rPr>
          <w:lang w:val="es-ES"/>
        </w:rPr>
        <w:sectPr w:rsidR="005C58B1" w:rsidSect="00AE337A">
          <w:footerReference w:type="default" r:id="rId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1831D3AF" wp14:editId="4A92AD13">
            <wp:extent cx="3283993" cy="4320000"/>
            <wp:effectExtent l="0" t="0" r="0" b="4445"/>
            <wp:docPr id="10" name="Obrázek 10" descr="América Latina en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érica Latina en 18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9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lang w:val="es-ES"/>
        </w:rPr>
      </w:pPr>
      <w:hyperlink r:id="rId10" w:history="1">
        <w:r w:rsidRPr="00E07B34">
          <w:rPr>
            <w:rStyle w:val="Hypertextovodkaz"/>
            <w:lang w:val="es-ES"/>
          </w:rPr>
          <w:t>http://latinamericahoy.es/2013/10/19/independencia-america-latina-1780-a-1810/</w:t>
        </w:r>
      </w:hyperlink>
      <w:r>
        <w:rPr>
          <w:lang w:val="es-ES"/>
        </w:rPr>
        <w:t xml:space="preserve"> </w:t>
      </w: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78069D32" wp14:editId="30C98B90">
            <wp:extent cx="3316858" cy="3960000"/>
            <wp:effectExtent l="0" t="0" r="0" b="2540"/>
            <wp:docPr id="9" name="Obrázek 9" descr="http://blog.mailify.es/wp-content/uploads/2013/05/MapaAmL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mailify.es/wp-content/uploads/2013/05/MapaAmLat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5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lang w:val="es-ES"/>
        </w:rPr>
      </w:pPr>
      <w:hyperlink r:id="rId12" w:history="1">
        <w:r w:rsidRPr="00E07B34">
          <w:rPr>
            <w:rStyle w:val="Hypertextovodkaz"/>
            <w:lang w:val="es-ES"/>
          </w:rPr>
          <w:t>http://www.lahistoriaconmapas.com/atlas/america-mapa/imagenes-del-mapa-de-america.htm</w:t>
        </w:r>
      </w:hyperlink>
      <w:r>
        <w:rPr>
          <w:lang w:val="es-ES"/>
        </w:rPr>
        <w:t xml:space="preserve"> </w:t>
      </w:r>
    </w:p>
    <w:p w:rsidR="005C58B1" w:rsidRDefault="005C58B1" w:rsidP="00AE337A">
      <w:pPr>
        <w:rPr>
          <w:lang w:val="es-ES"/>
        </w:rPr>
        <w:sectPr w:rsidR="005C58B1" w:rsidSect="005C58B1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AE337A" w:rsidRDefault="00AE337A" w:rsidP="005C58B1">
      <w:pPr>
        <w:pStyle w:val="Nadpis3"/>
        <w:rPr>
          <w:lang w:val="es-ES"/>
        </w:rPr>
      </w:pPr>
      <w:proofErr w:type="spellStart"/>
      <w:r>
        <w:lastRenderedPageBreak/>
        <w:t>Periodizaciones</w:t>
      </w:r>
      <w:proofErr w:type="spellEnd"/>
      <w:r>
        <w:t xml:space="preserve"> </w:t>
      </w:r>
      <w:proofErr w:type="spellStart"/>
      <w:r>
        <w:t>externas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 de </w:t>
      </w:r>
      <w:proofErr w:type="spellStart"/>
      <w:r>
        <w:t>América</w:t>
      </w:r>
      <w:proofErr w:type="spellEnd"/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1728"/>
        <w:gridCol w:w="1800"/>
        <w:gridCol w:w="5684"/>
      </w:tblGrid>
      <w:tr w:rsidR="00AE337A" w:rsidRPr="00C00673" w:rsidTr="00AF4952">
        <w:tc>
          <w:tcPr>
            <w:tcW w:w="1728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Fuente</w:t>
            </w:r>
            <w:proofErr w:type="spellEnd"/>
            <w:r w:rsidRPr="00C006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Criterio</w:t>
            </w:r>
            <w:proofErr w:type="spellEnd"/>
            <w:r w:rsidRPr="00C006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684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Periodo </w:t>
            </w:r>
          </w:p>
        </w:tc>
      </w:tr>
      <w:tr w:rsidR="00AE337A" w:rsidRPr="00C00673" w:rsidTr="00AF4952">
        <w:tc>
          <w:tcPr>
            <w:tcW w:w="1728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Cuervo</w:t>
            </w:r>
            <w:proofErr w:type="spellEnd"/>
            <w:r w:rsidRPr="00C00673">
              <w:rPr>
                <w:rFonts w:asciiTheme="minorHAnsi" w:hAnsiTheme="minorHAnsi"/>
                <w:sz w:val="22"/>
                <w:szCs w:val="22"/>
              </w:rPr>
              <w:t xml:space="preserve"> (DCR)</w:t>
            </w:r>
          </w:p>
        </w:tc>
        <w:tc>
          <w:tcPr>
            <w:tcW w:w="1800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Histórico</w:t>
            </w:r>
            <w:proofErr w:type="spellEnd"/>
          </w:p>
        </w:tc>
        <w:tc>
          <w:tcPr>
            <w:tcW w:w="5684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1. </w:t>
            </w: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Colonial</w:t>
            </w:r>
            <w:proofErr w:type="spellEnd"/>
            <w:r w:rsidRPr="00C00673">
              <w:rPr>
                <w:rFonts w:asciiTheme="minorHAnsi" w:hAnsiTheme="minorHAnsi"/>
                <w:sz w:val="22"/>
                <w:szCs w:val="22"/>
              </w:rPr>
              <w:t xml:space="preserve"> (de 1492 a 1800)</w:t>
            </w:r>
          </w:p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2. </w:t>
            </w: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Independiente</w:t>
            </w:r>
            <w:proofErr w:type="spellEnd"/>
            <w:r w:rsidRPr="00C00673">
              <w:rPr>
                <w:rFonts w:asciiTheme="minorHAnsi" w:hAnsiTheme="minorHAnsi"/>
                <w:sz w:val="22"/>
                <w:szCs w:val="22"/>
              </w:rPr>
              <w:t xml:space="preserve"> (de 1800-)</w:t>
            </w:r>
          </w:p>
        </w:tc>
      </w:tr>
      <w:tr w:rsidR="00AE337A" w:rsidRPr="00C00673" w:rsidTr="00AF4952">
        <w:tc>
          <w:tcPr>
            <w:tcW w:w="1728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Guitarte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(1983)</w:t>
            </w:r>
          </w:p>
        </w:tc>
        <w:tc>
          <w:tcPr>
            <w:tcW w:w="1800" w:type="dxa"/>
          </w:tcPr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Histórico</w:t>
            </w:r>
            <w:proofErr w:type="spellEnd"/>
          </w:p>
        </w:tc>
        <w:tc>
          <w:tcPr>
            <w:tcW w:w="5684" w:type="dxa"/>
          </w:tcPr>
          <w:p w:rsidR="00AE337A" w:rsidRPr="00C00673" w:rsidRDefault="00AE337A" w:rsidP="00AF4952">
            <w:pPr>
              <w:tabs>
                <w:tab w:val="center" w:pos="16"/>
              </w:tabs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Época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Pr="00C00673">
              <w:rPr>
                <w:rFonts w:asciiTheme="minorHAnsi" w:hAnsiTheme="minorHAnsi"/>
                <w:sz w:val="22"/>
                <w:szCs w:val="22"/>
              </w:rPr>
              <w:t>olonial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(1492 – 1810)</w:t>
            </w:r>
          </w:p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1.1. </w:t>
            </w: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Orígenes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(1492 – 1531)</w:t>
            </w:r>
          </w:p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1.2.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Vida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colonial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(1532 – 1780)</w:t>
            </w:r>
          </w:p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1.3.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Pasaje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a la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Independencia</w:t>
            </w:r>
            <w:proofErr w:type="spellEnd"/>
            <w:r w:rsidRPr="00C00673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/>
                <w:sz w:val="22"/>
                <w:szCs w:val="22"/>
              </w:rPr>
              <w:t>1780 – 1820</w:t>
            </w:r>
            <w:r w:rsidRPr="00C00673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Época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C00673">
              <w:rPr>
                <w:rFonts w:asciiTheme="minorHAnsi" w:hAnsiTheme="minorHAnsi"/>
                <w:sz w:val="22"/>
                <w:szCs w:val="22"/>
              </w:rPr>
              <w:t>Independiente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1820 – )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2.1.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Transición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(1821 – 1900)</w:t>
            </w:r>
          </w:p>
          <w:p w:rsidR="00AE337A" w:rsidRPr="00C00673" w:rsidRDefault="00AE337A" w:rsidP="00AF4952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00673">
              <w:rPr>
                <w:rFonts w:asciiTheme="minorHAnsi" w:hAnsiTheme="minorHAnsi"/>
                <w:sz w:val="22"/>
                <w:szCs w:val="22"/>
              </w:rPr>
              <w:t xml:space="preserve">2.2.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Equilibrio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consolidación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nacional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(1901 - )</w:t>
            </w:r>
          </w:p>
        </w:tc>
      </w:tr>
    </w:tbl>
    <w:p w:rsidR="00AE337A" w:rsidRDefault="00AE337A" w:rsidP="00AE337A">
      <w:r>
        <w:rPr>
          <w:noProof/>
          <w:lang w:eastAsia="cs-CZ"/>
        </w:rPr>
        <w:drawing>
          <wp:inline distT="0" distB="0" distL="0" distR="0" wp14:anchorId="020B20FB" wp14:editId="7FFCDF46">
            <wp:extent cx="3385936" cy="3240000"/>
            <wp:effectExtent l="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3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r>
        <w:t>(</w:t>
      </w:r>
      <w:proofErr w:type="spellStart"/>
      <w:r>
        <w:t>Canfield</w:t>
      </w:r>
      <w:proofErr w:type="spellEnd"/>
      <w:r>
        <w:t xml:space="preserve">, Lincoln D. 1981. </w:t>
      </w:r>
      <w:proofErr w:type="spellStart"/>
      <w:r w:rsidRPr="001C0AEA">
        <w:rPr>
          <w:i/>
        </w:rPr>
        <w:t>Spanish</w:t>
      </w:r>
      <w:proofErr w:type="spellEnd"/>
      <w:r w:rsidRPr="001C0AEA">
        <w:rPr>
          <w:i/>
        </w:rPr>
        <w:t xml:space="preserve"> </w:t>
      </w:r>
      <w:proofErr w:type="spellStart"/>
      <w:r w:rsidRPr="001C0AEA">
        <w:rPr>
          <w:i/>
        </w:rPr>
        <w:t>Pronunciation</w:t>
      </w:r>
      <w:proofErr w:type="spellEnd"/>
      <w:r w:rsidRPr="001C0AEA">
        <w:rPr>
          <w:i/>
        </w:rPr>
        <w:t xml:space="preserve"> in </w:t>
      </w:r>
      <w:proofErr w:type="spellStart"/>
      <w:r w:rsidRPr="001C0AEA">
        <w:rPr>
          <w:i/>
        </w:rPr>
        <w:t>the</w:t>
      </w:r>
      <w:proofErr w:type="spellEnd"/>
      <w:r w:rsidRPr="001C0AEA">
        <w:rPr>
          <w:i/>
        </w:rPr>
        <w:t xml:space="preserve"> </w:t>
      </w:r>
      <w:proofErr w:type="spellStart"/>
      <w:r w:rsidRPr="001C0AEA">
        <w:rPr>
          <w:i/>
        </w:rPr>
        <w:t>Americas</w:t>
      </w:r>
      <w:proofErr w:type="spellEnd"/>
      <w:r>
        <w:t xml:space="preserve">. Chicago-London: University </w:t>
      </w:r>
      <w:proofErr w:type="spellStart"/>
      <w:r>
        <w:t>of</w:t>
      </w:r>
      <w:proofErr w:type="spellEnd"/>
      <w:r>
        <w:t xml:space="preserve"> Chicago </w:t>
      </w:r>
      <w:proofErr w:type="spellStart"/>
      <w:r>
        <w:t>Press</w:t>
      </w:r>
      <w:proofErr w:type="spellEnd"/>
      <w:r>
        <w:t>.)</w:t>
      </w:r>
    </w:p>
    <w:p w:rsidR="005E4864" w:rsidRDefault="005E4864" w:rsidP="00AE337A">
      <w:pPr>
        <w:pStyle w:val="Nadpis2"/>
        <w:rPr>
          <w:lang w:val="es-ES"/>
        </w:rPr>
        <w:sectPr w:rsidR="005E4864" w:rsidSect="005C58B1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E337A" w:rsidRDefault="00AE337A" w:rsidP="00AE337A">
      <w:pPr>
        <w:pStyle w:val="Nadpis2"/>
        <w:rPr>
          <w:lang w:val="es-ES"/>
        </w:rPr>
      </w:pPr>
      <w:r>
        <w:rPr>
          <w:lang w:val="es-ES"/>
        </w:rPr>
        <w:lastRenderedPageBreak/>
        <w:t>Las tesis andalucista y antiandalucista en los orígenes del español en América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Teoría andalucista – tesis básica – la base del español de América se encuentra en las hablas andaluzas orientales =&gt; el origen suroccidental de la mayoría de los primeros colonizadores.</w:t>
      </w:r>
    </w:p>
    <w:p w:rsidR="00AE337A" w:rsidRDefault="00AE337A" w:rsidP="00AE337A">
      <w:pPr>
        <w:rPr>
          <w:lang w:val="es-ES"/>
        </w:rPr>
      </w:pPr>
      <w:proofErr w:type="spellStart"/>
      <w:r w:rsidRPr="00710E80">
        <w:rPr>
          <w:rStyle w:val="Nadpis4Char"/>
        </w:rPr>
        <w:t>Argumentos</w:t>
      </w:r>
      <w:proofErr w:type="spellEnd"/>
      <w:r w:rsidRPr="00710E80">
        <w:rPr>
          <w:rStyle w:val="Nadpis4Char"/>
        </w:rPr>
        <w:t xml:space="preserve"> de la </w:t>
      </w:r>
      <w:proofErr w:type="spellStart"/>
      <w:r w:rsidRPr="00710E80">
        <w:rPr>
          <w:rStyle w:val="Nadpis4Char"/>
        </w:rPr>
        <w:t>tesis</w:t>
      </w:r>
      <w:proofErr w:type="spellEnd"/>
      <w:r w:rsidRPr="00710E80">
        <w:rPr>
          <w:rStyle w:val="Nadpis4Char"/>
        </w:rPr>
        <w:t xml:space="preserve"> </w:t>
      </w:r>
      <w:proofErr w:type="spellStart"/>
      <w:r w:rsidRPr="00710E80">
        <w:rPr>
          <w:rStyle w:val="Nadpis4Char"/>
        </w:rPr>
        <w:t>andalucista</w:t>
      </w:r>
      <w:proofErr w:type="spellEnd"/>
      <w:r>
        <w:rPr>
          <w:lang w:val="es-ES"/>
        </w:rPr>
        <w:t>:</w:t>
      </w:r>
    </w:p>
    <w:p w:rsidR="00AE337A" w:rsidRDefault="00AE337A" w:rsidP="00AE337A">
      <w:pPr>
        <w:pStyle w:val="Odstavecseseznamem"/>
        <w:numPr>
          <w:ilvl w:val="0"/>
          <w:numId w:val="1"/>
        </w:numPr>
        <w:rPr>
          <w:lang w:val="es-ES"/>
        </w:rPr>
      </w:pPr>
      <w:r w:rsidRPr="00710E80">
        <w:rPr>
          <w:i/>
          <w:lang w:val="es-ES"/>
        </w:rPr>
        <w:t>Demográfico</w:t>
      </w:r>
      <w:r>
        <w:rPr>
          <w:lang w:val="es-ES"/>
        </w:rPr>
        <w:t xml:space="preserve">: el contingente demográfico de los andaluces fue lo suficientemente importante en el s. XVI como para crea a partir de los rasgos meridionales una nueva variedad nivelada (P Boyd-Bowman – 40% de los viajeros en el XVI =&gt; ¿suficiente?); </w:t>
      </w:r>
    </w:p>
    <w:p w:rsidR="00AE337A" w:rsidRDefault="00AE337A" w:rsidP="00AE337A">
      <w:pPr>
        <w:pStyle w:val="Odstavecseseznamem"/>
        <w:numPr>
          <w:ilvl w:val="0"/>
          <w:numId w:val="1"/>
        </w:numPr>
        <w:rPr>
          <w:lang w:val="es-ES"/>
        </w:rPr>
      </w:pPr>
      <w:r w:rsidRPr="00710E80">
        <w:rPr>
          <w:i/>
          <w:lang w:val="es-ES"/>
        </w:rPr>
        <w:t>Histórico-lingüístico</w:t>
      </w:r>
      <w:r>
        <w:rPr>
          <w:lang w:val="es-ES"/>
        </w:rPr>
        <w:t xml:space="preserve">: depende del momento en el que se verifican los principales cambios fónicos de las hablas andaluzas; </w:t>
      </w:r>
    </w:p>
    <w:p w:rsidR="00AE337A" w:rsidRDefault="00AE337A" w:rsidP="00AE337A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>si se hubieran producido a finales del XV, apoyarían la tesis andalucista;</w:t>
      </w:r>
    </w:p>
    <w:p w:rsidR="00AE337A" w:rsidRDefault="00AE337A" w:rsidP="00AE337A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si fueran más tardíos (s. XVII), serían desarrollos paralelos, i.e. apoyo de la tesis antiandalucista y poligenética del español en América </w:t>
      </w:r>
      <w:r w:rsidR="005C58B1">
        <w:rPr>
          <w:lang w:val="es-ES"/>
        </w:rPr>
        <w:t>.</w:t>
      </w:r>
    </w:p>
    <w:p w:rsidR="00AE337A" w:rsidRPr="005E4864" w:rsidRDefault="00AE337A" w:rsidP="005E4864">
      <w:pPr>
        <w:ind w:left="709"/>
        <w:jc w:val="both"/>
        <w:rPr>
          <w:sz w:val="20"/>
          <w:szCs w:val="20"/>
        </w:rPr>
      </w:pPr>
      <w:r w:rsidRPr="005E4864">
        <w:rPr>
          <w:sz w:val="20"/>
          <w:szCs w:val="20"/>
        </w:rPr>
        <w:t xml:space="preserve">“El </w:t>
      </w:r>
      <w:proofErr w:type="spellStart"/>
      <w:r w:rsidRPr="005E4864">
        <w:rPr>
          <w:sz w:val="20"/>
          <w:szCs w:val="20"/>
        </w:rPr>
        <w:t>problema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está</w:t>
      </w:r>
      <w:proofErr w:type="spellEnd"/>
      <w:r w:rsidRPr="005E4864">
        <w:rPr>
          <w:sz w:val="20"/>
          <w:szCs w:val="20"/>
        </w:rPr>
        <w:t xml:space="preserve"> en </w:t>
      </w:r>
      <w:proofErr w:type="spellStart"/>
      <w:r w:rsidRPr="005E4864">
        <w:rPr>
          <w:sz w:val="20"/>
          <w:szCs w:val="20"/>
        </w:rPr>
        <w:t>creer</w:t>
      </w:r>
      <w:proofErr w:type="spellEnd"/>
      <w:r w:rsidRPr="005E4864">
        <w:rPr>
          <w:sz w:val="20"/>
          <w:szCs w:val="20"/>
        </w:rPr>
        <w:t xml:space="preserve"> o no, </w:t>
      </w:r>
      <w:proofErr w:type="spellStart"/>
      <w:proofErr w:type="gramStart"/>
      <w:r w:rsidRPr="005E4864">
        <w:rPr>
          <w:sz w:val="20"/>
          <w:szCs w:val="20"/>
        </w:rPr>
        <w:t>i.e</w:t>
      </w:r>
      <w:proofErr w:type="spellEnd"/>
      <w:r w:rsidRPr="005E4864">
        <w:rPr>
          <w:sz w:val="20"/>
          <w:szCs w:val="20"/>
        </w:rPr>
        <w:t xml:space="preserve">. </w:t>
      </w:r>
      <w:proofErr w:type="spellStart"/>
      <w:r w:rsidRPr="005E4864">
        <w:rPr>
          <w:sz w:val="20"/>
          <w:szCs w:val="20"/>
        </w:rPr>
        <w:t>saber</w:t>
      </w:r>
      <w:proofErr w:type="spellEnd"/>
      <w:proofErr w:type="gramEnd"/>
      <w:r w:rsidRPr="005E4864">
        <w:rPr>
          <w:sz w:val="20"/>
          <w:szCs w:val="20"/>
        </w:rPr>
        <w:t xml:space="preserve"> y </w:t>
      </w:r>
      <w:proofErr w:type="spellStart"/>
      <w:r w:rsidRPr="005E4864">
        <w:rPr>
          <w:sz w:val="20"/>
          <w:szCs w:val="20"/>
        </w:rPr>
        <w:t>reconocer</w:t>
      </w:r>
      <w:proofErr w:type="spellEnd"/>
      <w:r w:rsidRPr="005E4864">
        <w:rPr>
          <w:sz w:val="20"/>
          <w:szCs w:val="20"/>
        </w:rPr>
        <w:t xml:space="preserve"> o no, </w:t>
      </w:r>
      <w:proofErr w:type="spellStart"/>
      <w:r w:rsidRPr="005E4864">
        <w:rPr>
          <w:sz w:val="20"/>
          <w:szCs w:val="20"/>
        </w:rPr>
        <w:t>que</w:t>
      </w:r>
      <w:proofErr w:type="spellEnd"/>
      <w:r w:rsidRPr="005E4864">
        <w:rPr>
          <w:sz w:val="20"/>
          <w:szCs w:val="20"/>
        </w:rPr>
        <w:t xml:space="preserve"> en el s. XVI, pero </w:t>
      </w:r>
      <w:proofErr w:type="spellStart"/>
      <w:r w:rsidRPr="005E4864">
        <w:rPr>
          <w:sz w:val="20"/>
          <w:szCs w:val="20"/>
        </w:rPr>
        <w:t>también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antes</w:t>
      </w:r>
      <w:proofErr w:type="spellEnd"/>
      <w:r w:rsidRPr="005E4864">
        <w:rPr>
          <w:sz w:val="20"/>
          <w:szCs w:val="20"/>
        </w:rPr>
        <w:t xml:space="preserve"> y </w:t>
      </w:r>
      <w:proofErr w:type="spellStart"/>
      <w:r w:rsidRPr="005E4864">
        <w:rPr>
          <w:sz w:val="20"/>
          <w:szCs w:val="20"/>
        </w:rPr>
        <w:t>después</w:t>
      </w:r>
      <w:proofErr w:type="spellEnd"/>
      <w:r w:rsidRPr="005E4864">
        <w:rPr>
          <w:sz w:val="20"/>
          <w:szCs w:val="20"/>
        </w:rPr>
        <w:t xml:space="preserve">, el </w:t>
      </w:r>
      <w:proofErr w:type="spellStart"/>
      <w:r w:rsidRPr="005E4864">
        <w:rPr>
          <w:sz w:val="20"/>
          <w:szCs w:val="20"/>
        </w:rPr>
        <w:t>léxico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era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geográficamente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variado</w:t>
      </w:r>
      <w:proofErr w:type="spellEnd"/>
      <w:r w:rsidRPr="005E4864">
        <w:rPr>
          <w:sz w:val="20"/>
          <w:szCs w:val="20"/>
        </w:rPr>
        <w:t xml:space="preserve"> en </w:t>
      </w:r>
      <w:proofErr w:type="spellStart"/>
      <w:r w:rsidRPr="005E4864">
        <w:rPr>
          <w:sz w:val="20"/>
          <w:szCs w:val="20"/>
        </w:rPr>
        <w:t>español</w:t>
      </w:r>
      <w:proofErr w:type="spellEnd"/>
      <w:r w:rsidRPr="005E4864">
        <w:rPr>
          <w:sz w:val="20"/>
          <w:szCs w:val="20"/>
        </w:rPr>
        <w:t xml:space="preserve">, y, </w:t>
      </w:r>
      <w:proofErr w:type="spellStart"/>
      <w:r w:rsidRPr="005E4864">
        <w:rPr>
          <w:sz w:val="20"/>
          <w:szCs w:val="20"/>
        </w:rPr>
        <w:t>efectivamente</w:t>
      </w:r>
      <w:proofErr w:type="spellEnd"/>
      <w:r w:rsidRPr="005E4864">
        <w:rPr>
          <w:sz w:val="20"/>
          <w:szCs w:val="20"/>
        </w:rPr>
        <w:t xml:space="preserve">, </w:t>
      </w:r>
      <w:proofErr w:type="spellStart"/>
      <w:r w:rsidRPr="005E4864">
        <w:rPr>
          <w:sz w:val="20"/>
          <w:szCs w:val="20"/>
        </w:rPr>
        <w:t>aunque</w:t>
      </w:r>
      <w:proofErr w:type="spellEnd"/>
      <w:r w:rsidRPr="005E4864">
        <w:rPr>
          <w:sz w:val="20"/>
          <w:szCs w:val="20"/>
        </w:rPr>
        <w:t xml:space="preserve"> el </w:t>
      </w:r>
      <w:proofErr w:type="spellStart"/>
      <w:r w:rsidRPr="005E4864">
        <w:rPr>
          <w:sz w:val="20"/>
          <w:szCs w:val="20"/>
        </w:rPr>
        <w:t>fondo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común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predominaba</w:t>
      </w:r>
      <w:proofErr w:type="spellEnd"/>
      <w:r w:rsidRPr="005E4864">
        <w:rPr>
          <w:sz w:val="20"/>
          <w:szCs w:val="20"/>
        </w:rPr>
        <w:t xml:space="preserve"> con </w:t>
      </w:r>
      <w:proofErr w:type="spellStart"/>
      <w:r w:rsidRPr="005E4864">
        <w:rPr>
          <w:sz w:val="20"/>
          <w:szCs w:val="20"/>
        </w:rPr>
        <w:t>mucho</w:t>
      </w:r>
      <w:proofErr w:type="spellEnd"/>
      <w:r w:rsidRPr="005E4864">
        <w:rPr>
          <w:sz w:val="20"/>
          <w:szCs w:val="20"/>
        </w:rPr>
        <w:t xml:space="preserve">, </w:t>
      </w:r>
      <w:proofErr w:type="spellStart"/>
      <w:r w:rsidRPr="005E4864">
        <w:rPr>
          <w:sz w:val="20"/>
          <w:szCs w:val="20"/>
        </w:rPr>
        <w:t>como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siempre</w:t>
      </w:r>
      <w:proofErr w:type="spellEnd"/>
      <w:r w:rsidRPr="005E4864">
        <w:rPr>
          <w:sz w:val="20"/>
          <w:szCs w:val="20"/>
        </w:rPr>
        <w:t xml:space="preserve"> ha </w:t>
      </w:r>
      <w:proofErr w:type="spellStart"/>
      <w:r w:rsidRPr="005E4864">
        <w:rPr>
          <w:sz w:val="20"/>
          <w:szCs w:val="20"/>
        </w:rPr>
        <w:t>ocurrido</w:t>
      </w:r>
      <w:proofErr w:type="spellEnd"/>
      <w:r w:rsidRPr="005E4864">
        <w:rPr>
          <w:sz w:val="20"/>
          <w:szCs w:val="20"/>
        </w:rPr>
        <w:t xml:space="preserve">, </w:t>
      </w:r>
      <w:proofErr w:type="spellStart"/>
      <w:r w:rsidRPr="005E4864">
        <w:rPr>
          <w:sz w:val="20"/>
          <w:szCs w:val="20"/>
        </w:rPr>
        <w:t>había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asimismo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grupos</w:t>
      </w:r>
      <w:proofErr w:type="spellEnd"/>
      <w:r w:rsidRPr="005E4864">
        <w:rPr>
          <w:sz w:val="20"/>
          <w:szCs w:val="20"/>
        </w:rPr>
        <w:t xml:space="preserve"> de </w:t>
      </w:r>
      <w:proofErr w:type="spellStart"/>
      <w:r w:rsidRPr="005E4864">
        <w:rPr>
          <w:sz w:val="20"/>
          <w:szCs w:val="20"/>
        </w:rPr>
        <w:t>palabras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que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diferenciaban</w:t>
      </w:r>
      <w:proofErr w:type="spellEnd"/>
      <w:r w:rsidRPr="005E4864">
        <w:rPr>
          <w:sz w:val="20"/>
          <w:szCs w:val="20"/>
        </w:rPr>
        <w:t xml:space="preserve"> el </w:t>
      </w:r>
      <w:proofErr w:type="spellStart"/>
      <w:r w:rsidRPr="005E4864">
        <w:rPr>
          <w:sz w:val="20"/>
          <w:szCs w:val="20"/>
        </w:rPr>
        <w:t>hablar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unas</w:t>
      </w:r>
      <w:proofErr w:type="spellEnd"/>
      <w:r w:rsidRPr="005E4864">
        <w:rPr>
          <w:sz w:val="20"/>
          <w:szCs w:val="20"/>
        </w:rPr>
        <w:t xml:space="preserve"> y </w:t>
      </w:r>
      <w:proofErr w:type="spellStart"/>
      <w:r w:rsidRPr="005E4864">
        <w:rPr>
          <w:sz w:val="20"/>
          <w:szCs w:val="20"/>
        </w:rPr>
        <w:t>otras</w:t>
      </w:r>
      <w:proofErr w:type="spellEnd"/>
      <w:r w:rsidRPr="005E4864">
        <w:rPr>
          <w:sz w:val="20"/>
          <w:szCs w:val="20"/>
        </w:rPr>
        <w:t xml:space="preserve"> </w:t>
      </w:r>
      <w:proofErr w:type="spellStart"/>
      <w:r w:rsidRPr="005E4864">
        <w:rPr>
          <w:sz w:val="20"/>
          <w:szCs w:val="20"/>
        </w:rPr>
        <w:t>regiones</w:t>
      </w:r>
      <w:proofErr w:type="spellEnd"/>
      <w:r w:rsidRPr="005E4864">
        <w:rPr>
          <w:sz w:val="20"/>
          <w:szCs w:val="20"/>
        </w:rPr>
        <w:t xml:space="preserve">.” </w:t>
      </w:r>
      <w:r w:rsidR="005E4864">
        <w:rPr>
          <w:sz w:val="20"/>
          <w:szCs w:val="20"/>
        </w:rPr>
        <w:t>(</w:t>
      </w:r>
      <w:proofErr w:type="spellStart"/>
      <w:r w:rsidR="005E4864">
        <w:rPr>
          <w:sz w:val="20"/>
          <w:szCs w:val="20"/>
        </w:rPr>
        <w:t>Frago</w:t>
      </w:r>
      <w:proofErr w:type="spellEnd"/>
      <w:r w:rsidR="005E4864">
        <w:rPr>
          <w:sz w:val="20"/>
          <w:szCs w:val="20"/>
        </w:rPr>
        <w:t>-Franco, 2003, p. 21)</w:t>
      </w:r>
    </w:p>
    <w:p w:rsidR="00AE337A" w:rsidRPr="005E4864" w:rsidRDefault="00AE337A" w:rsidP="005E4864">
      <w:pPr>
        <w:pStyle w:val="Odstavecseseznamem"/>
        <w:numPr>
          <w:ilvl w:val="0"/>
          <w:numId w:val="7"/>
        </w:numPr>
        <w:rPr>
          <w:lang w:val="es-ES"/>
        </w:rPr>
      </w:pPr>
      <w:r w:rsidRPr="005E4864">
        <w:rPr>
          <w:lang w:val="es-ES"/>
        </w:rPr>
        <w:t>durante los ss. XVII, XVIII y XIX</w:t>
      </w:r>
      <w:r w:rsidR="005E4864">
        <w:rPr>
          <w:lang w:val="es-ES"/>
        </w:rPr>
        <w:t xml:space="preserve">: </w:t>
      </w:r>
      <w:r w:rsidRPr="005E4864">
        <w:rPr>
          <w:lang w:val="es-ES"/>
        </w:rPr>
        <w:t xml:space="preserve">nuevas migraciones desde diferentes regiones españolas y con perfiles sociolingüísticos variados  =&gt; </w:t>
      </w:r>
      <w:r w:rsidRPr="005E4864">
        <w:rPr>
          <w:b/>
          <w:i/>
          <w:lang w:val="es-ES"/>
        </w:rPr>
        <w:t>andalucismo relativo</w:t>
      </w:r>
      <w:r w:rsidRPr="005E4864">
        <w:rPr>
          <w:lang w:val="es-ES"/>
        </w:rPr>
        <w:t>.</w:t>
      </w:r>
    </w:p>
    <w:p w:rsidR="00AE337A" w:rsidRDefault="00AE337A" w:rsidP="00AE337A">
      <w:pPr>
        <w:pStyle w:val="Nadpis2"/>
        <w:rPr>
          <w:lang w:val="es-ES"/>
        </w:rPr>
      </w:pPr>
      <w:r>
        <w:rPr>
          <w:lang w:val="es-ES"/>
        </w:rPr>
        <w:lastRenderedPageBreak/>
        <w:t>La falsa imagen del español en América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Serie de tópicos que dificultan una adecuada apreciación de la realidad sociolingüística del español en América:</w:t>
      </w:r>
    </w:p>
    <w:p w:rsidR="00AE337A" w:rsidRDefault="00AE337A" w:rsidP="00AE337A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Uniformidad: tradición de hablar del “español de América” (en oposición al español de España); un “aire de familia” entre modalidades americanas de distinta procedencia en oídos de los españoles.</w:t>
      </w:r>
    </w:p>
    <w:p w:rsidR="00AE337A" w:rsidRDefault="00AE337A" w:rsidP="00AE337A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Carácter conservador o arcaizante: el conservadurismo es relativo – el arcaísmo siempre lo es respecto de una solución innovadora en un territorio determinado y no tiene por qué serlo en todas las áreas a la vez; además, hay otros fenómenos que son innovadores dentro del sistema común español (p. ej., las oraciones hendidas).</w:t>
      </w:r>
    </w:p>
    <w:p w:rsidR="00AE337A" w:rsidRPr="005E4864" w:rsidRDefault="00AE337A" w:rsidP="005E4864">
      <w:pPr>
        <w:pStyle w:val="Odstavecseseznamem"/>
        <w:numPr>
          <w:ilvl w:val="0"/>
          <w:numId w:val="8"/>
        </w:numPr>
        <w:ind w:left="709"/>
        <w:rPr>
          <w:lang w:val="es-ES"/>
        </w:rPr>
      </w:pPr>
      <w:r w:rsidRPr="005E4864">
        <w:rPr>
          <w:lang w:val="es-ES"/>
        </w:rPr>
        <w:t>Vulgarismo: basado en el argumento (históricamente falso) del perfil sociocultural bajo de los inmigrados españoles, en su totalidad no fueron la mayoría ni de</w:t>
      </w:r>
      <w:r w:rsidR="005E4864">
        <w:rPr>
          <w:lang w:val="es-ES"/>
        </w:rPr>
        <w:t>lincuentes ni rústicos incultos (c</w:t>
      </w:r>
      <w:r w:rsidRPr="005E4864">
        <w:rPr>
          <w:lang w:val="es-ES"/>
        </w:rPr>
        <w:t xml:space="preserve">f. </w:t>
      </w:r>
      <w:r w:rsidRPr="005E4864">
        <w:rPr>
          <w:i/>
          <w:lang w:val="es-ES"/>
        </w:rPr>
        <w:t>hidalguización</w:t>
      </w:r>
      <w:r w:rsidR="005E4864" w:rsidRPr="005E4864">
        <w:rPr>
          <w:lang w:val="es-ES"/>
        </w:rPr>
        <w:t xml:space="preserve"> o nivelación hacia arriba</w:t>
      </w:r>
      <w:r w:rsidRPr="005E4864">
        <w:rPr>
          <w:lang w:val="es-ES"/>
        </w:rPr>
        <w:t xml:space="preserve">. </w:t>
      </w:r>
    </w:p>
    <w:p w:rsidR="00AE337A" w:rsidRDefault="00AE337A" w:rsidP="00AE337A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Colorido amerindio: léxico de la civilización, fauna, flora, comida, etc. (en hablas locales o regionales), pero es casi nula su aportación tanto al desarrollo gramatical del español en América como al léxico estructurado.</w:t>
      </w:r>
    </w:p>
    <w:p w:rsidR="00D247E8" w:rsidRDefault="00D247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s-ES"/>
        </w:rPr>
      </w:pPr>
      <w:r>
        <w:rPr>
          <w:lang w:val="es-ES"/>
        </w:rPr>
        <w:br w:type="page"/>
      </w:r>
    </w:p>
    <w:p w:rsidR="00AE337A" w:rsidRDefault="00AE337A" w:rsidP="00AE337A">
      <w:pPr>
        <w:pStyle w:val="Nadpis2"/>
        <w:rPr>
          <w:lang w:val="es-ES"/>
        </w:rPr>
      </w:pPr>
      <w:r>
        <w:rPr>
          <w:lang w:val="es-ES"/>
        </w:rPr>
        <w:lastRenderedPageBreak/>
        <w:t>El diasistema del español americano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Diasistema del español americano – rasgos compartidos por todo el español americano, un conjunto de rasgos que no reflejan el habla de nadie pero que representa las características compartidas por todos.</w:t>
      </w:r>
    </w:p>
    <w:p w:rsidR="00AE337A" w:rsidRDefault="00AE337A" w:rsidP="00AE337A">
      <w:pPr>
        <w:pStyle w:val="Nadpis3"/>
        <w:rPr>
          <w:lang w:val="es-ES"/>
        </w:rPr>
      </w:pPr>
      <w:r>
        <w:rPr>
          <w:lang w:val="es-ES"/>
        </w:rPr>
        <w:t>Rasgos comunes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Plano fónico:</w:t>
      </w:r>
    </w:p>
    <w:p w:rsidR="00AE337A" w:rsidRDefault="00AE337A" w:rsidP="00AE337A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Seseo (realizado mayoritariamente como predorsal);</w:t>
      </w:r>
    </w:p>
    <w:p w:rsidR="00AE337A" w:rsidRDefault="00AE337A" w:rsidP="00AE337A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Yeísmo.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Plano gramatical: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Uso de </w:t>
      </w:r>
      <w:r w:rsidRPr="00BF0430">
        <w:rPr>
          <w:i/>
          <w:lang w:val="es-ES"/>
        </w:rPr>
        <w:t>ustedes</w:t>
      </w:r>
      <w:r>
        <w:rPr>
          <w:lang w:val="es-ES"/>
        </w:rPr>
        <w:t xml:space="preserve">, </w:t>
      </w:r>
      <w:r w:rsidRPr="00BF0430">
        <w:rPr>
          <w:i/>
          <w:lang w:val="es-ES"/>
        </w:rPr>
        <w:t>su</w:t>
      </w:r>
      <w:r>
        <w:rPr>
          <w:lang w:val="es-ES"/>
        </w:rPr>
        <w:t xml:space="preserve">, </w:t>
      </w:r>
      <w:r w:rsidRPr="00BF0430">
        <w:rPr>
          <w:i/>
          <w:lang w:val="es-ES"/>
        </w:rPr>
        <w:t>suyo/a</w:t>
      </w:r>
      <w:r>
        <w:rPr>
          <w:lang w:val="es-ES"/>
        </w:rPr>
        <w:t xml:space="preserve"> con valor de 2ª pers.pl.;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>Derivaciones específicas en –</w:t>
      </w:r>
      <w:r w:rsidRPr="00BF0430">
        <w:rPr>
          <w:i/>
          <w:lang w:val="es-ES"/>
        </w:rPr>
        <w:t>oso</w:t>
      </w:r>
      <w:r>
        <w:rPr>
          <w:lang w:val="es-ES"/>
        </w:rPr>
        <w:t xml:space="preserve"> y –</w:t>
      </w:r>
      <w:r w:rsidRPr="00BF0430">
        <w:rPr>
          <w:i/>
          <w:lang w:val="es-ES"/>
        </w:rPr>
        <w:t>ada</w:t>
      </w:r>
      <w:r>
        <w:rPr>
          <w:lang w:val="es-ES"/>
        </w:rPr>
        <w:t xml:space="preserve"> (</w:t>
      </w:r>
      <w:r w:rsidRPr="00BF0430">
        <w:rPr>
          <w:i/>
          <w:lang w:val="es-ES"/>
        </w:rPr>
        <w:t>molestoso</w:t>
      </w:r>
      <w:r>
        <w:rPr>
          <w:lang w:val="es-ES"/>
        </w:rPr>
        <w:t xml:space="preserve">, </w:t>
      </w:r>
      <w:r w:rsidRPr="00BF0430">
        <w:rPr>
          <w:i/>
          <w:lang w:val="es-ES"/>
        </w:rPr>
        <w:t>papelada</w:t>
      </w:r>
      <w:r>
        <w:rPr>
          <w:lang w:val="es-ES"/>
        </w:rPr>
        <w:t>);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>Diminutivos afectivos en adverbios o gerundios (</w:t>
      </w:r>
      <w:r w:rsidRPr="00BF0430">
        <w:rPr>
          <w:i/>
          <w:lang w:val="es-ES"/>
        </w:rPr>
        <w:t>ahorita</w:t>
      </w:r>
      <w:r>
        <w:rPr>
          <w:lang w:val="es-ES"/>
        </w:rPr>
        <w:t xml:space="preserve">, </w:t>
      </w:r>
      <w:r w:rsidRPr="00BF0430">
        <w:rPr>
          <w:i/>
          <w:lang w:val="es-ES"/>
        </w:rPr>
        <w:t>andandito</w:t>
      </w:r>
      <w:r>
        <w:rPr>
          <w:lang w:val="es-ES"/>
        </w:rPr>
        <w:t>);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>Tendencia a mantener el sistema etimológicos de pronombres personales átonos de 3ª pers.;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>Avance de leísmo de persona, aunque a veces con falta de concordancia (</w:t>
      </w:r>
      <w:r w:rsidRPr="00BF0430">
        <w:rPr>
          <w:i/>
          <w:lang w:val="es-ES"/>
        </w:rPr>
        <w:t>le traje el libro a los muchachos</w:t>
      </w:r>
      <w:r>
        <w:rPr>
          <w:lang w:val="es-ES"/>
        </w:rPr>
        <w:t>);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lastRenderedPageBreak/>
        <w:t>Uso mayoritario del pretérito indefinido a costa del pretérito perfecto;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>Preferencia por las formas en –</w:t>
      </w:r>
      <w:r w:rsidRPr="000D54B1">
        <w:rPr>
          <w:i/>
          <w:lang w:val="es-ES"/>
        </w:rPr>
        <w:t>ra</w:t>
      </w:r>
      <w:r>
        <w:rPr>
          <w:lang w:val="es-ES"/>
        </w:rPr>
        <w:t xml:space="preserve"> del subjuntivo;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>Tendencia al uso reflexivo de los verbos (</w:t>
      </w:r>
      <w:r w:rsidRPr="000D54B1">
        <w:rPr>
          <w:i/>
          <w:lang w:val="es-ES"/>
        </w:rPr>
        <w:t>enfermarse</w:t>
      </w:r>
      <w:r>
        <w:rPr>
          <w:lang w:val="es-ES"/>
        </w:rPr>
        <w:t xml:space="preserve">, </w:t>
      </w:r>
      <w:r w:rsidRPr="000D54B1">
        <w:rPr>
          <w:i/>
          <w:lang w:val="es-ES"/>
        </w:rPr>
        <w:t>recordarse</w:t>
      </w:r>
      <w:r>
        <w:rPr>
          <w:lang w:val="es-ES"/>
        </w:rPr>
        <w:t xml:space="preserve">, </w:t>
      </w:r>
      <w:r w:rsidRPr="000D54B1">
        <w:rPr>
          <w:i/>
          <w:lang w:val="es-ES"/>
        </w:rPr>
        <w:t>regresarse</w:t>
      </w:r>
      <w:r>
        <w:rPr>
          <w:lang w:val="es-ES"/>
        </w:rPr>
        <w:t xml:space="preserve">, </w:t>
      </w:r>
      <w:r w:rsidRPr="000D54B1">
        <w:rPr>
          <w:i/>
          <w:lang w:val="es-ES"/>
        </w:rPr>
        <w:t>demorarse</w:t>
      </w:r>
      <w:r>
        <w:rPr>
          <w:lang w:val="es-ES"/>
        </w:rPr>
        <w:t>, etc.);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>Uso adverbial de adjetivos (</w:t>
      </w:r>
      <w:r w:rsidRPr="007D4CFF">
        <w:rPr>
          <w:i/>
          <w:lang w:val="es-ES"/>
        </w:rPr>
        <w:t>cantar bonito</w:t>
      </w:r>
      <w:r>
        <w:rPr>
          <w:lang w:val="es-ES"/>
        </w:rPr>
        <w:t xml:space="preserve">, </w:t>
      </w:r>
      <w:r w:rsidRPr="007D4CFF">
        <w:rPr>
          <w:i/>
          <w:lang w:val="es-ES"/>
        </w:rPr>
        <w:t>hablar lindo</w:t>
      </w:r>
      <w:r>
        <w:rPr>
          <w:lang w:val="es-ES"/>
        </w:rPr>
        <w:t>);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Uso de </w:t>
      </w:r>
      <w:r w:rsidRPr="003B21A2">
        <w:rPr>
          <w:i/>
          <w:lang w:val="es-ES"/>
        </w:rPr>
        <w:t>recién</w:t>
      </w:r>
      <w:r>
        <w:rPr>
          <w:lang w:val="es-ES"/>
        </w:rPr>
        <w:t xml:space="preserve"> con verbos (</w:t>
      </w:r>
      <w:r w:rsidRPr="003B21A2">
        <w:rPr>
          <w:i/>
          <w:lang w:val="es-ES"/>
        </w:rPr>
        <w:t>recién salgo</w:t>
      </w:r>
      <w:r>
        <w:rPr>
          <w:lang w:val="es-ES"/>
        </w:rPr>
        <w:t>);</w:t>
      </w:r>
    </w:p>
    <w:p w:rsidR="00AE337A" w:rsidRDefault="00AE337A" w:rsidP="00AE337A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Uso de </w:t>
      </w:r>
      <w:r w:rsidRPr="003B21A2">
        <w:rPr>
          <w:i/>
          <w:lang w:val="es-ES"/>
        </w:rPr>
        <w:t>no más</w:t>
      </w:r>
      <w:r>
        <w:rPr>
          <w:lang w:val="es-ES"/>
        </w:rPr>
        <w:t xml:space="preserve"> o </w:t>
      </w:r>
      <w:r w:rsidRPr="003B21A2">
        <w:rPr>
          <w:i/>
          <w:lang w:val="es-ES"/>
        </w:rPr>
        <w:t>nomás</w:t>
      </w:r>
      <w:r>
        <w:rPr>
          <w:lang w:val="es-ES"/>
        </w:rPr>
        <w:t xml:space="preserve"> como adverbio modal (</w:t>
      </w:r>
      <w:r w:rsidRPr="003B21A2">
        <w:rPr>
          <w:i/>
          <w:lang w:val="es-ES"/>
        </w:rPr>
        <w:t>pase nomás</w:t>
      </w:r>
      <w:r>
        <w:rPr>
          <w:lang w:val="es-ES"/>
        </w:rPr>
        <w:t>).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Plano léxico:</w:t>
      </w:r>
    </w:p>
    <w:p w:rsidR="00AE337A" w:rsidRDefault="00AE337A" w:rsidP="00AE337A">
      <w:pPr>
        <w:pStyle w:val="Odstavecseseznamem"/>
        <w:numPr>
          <w:ilvl w:val="0"/>
          <w:numId w:val="4"/>
        </w:numPr>
        <w:rPr>
          <w:lang w:val="es-ES"/>
        </w:rPr>
      </w:pPr>
      <w:r>
        <w:rPr>
          <w:lang w:val="es-ES"/>
        </w:rPr>
        <w:t>Uso de indigenismos generalizados: voces arahuacas-taínas (</w:t>
      </w:r>
      <w:r w:rsidRPr="006149D1">
        <w:rPr>
          <w:i/>
          <w:lang w:val="es-ES"/>
        </w:rPr>
        <w:t>canoa, hamaca, cacique, yuca, maíz</w:t>
      </w:r>
      <w:r>
        <w:rPr>
          <w:lang w:val="es-ES"/>
        </w:rPr>
        <w:t>); nahuas (</w:t>
      </w:r>
      <w:r w:rsidRPr="006149D1">
        <w:rPr>
          <w:i/>
          <w:lang w:val="es-ES"/>
        </w:rPr>
        <w:t>tomate, cacao, chocolate, tiza</w:t>
      </w:r>
      <w:r>
        <w:rPr>
          <w:lang w:val="es-ES"/>
        </w:rPr>
        <w:t>); quechuas (</w:t>
      </w:r>
      <w:r w:rsidRPr="006149D1">
        <w:rPr>
          <w:i/>
          <w:lang w:val="es-ES"/>
        </w:rPr>
        <w:t>pampa, llama, coca, mate</w:t>
      </w:r>
      <w:r>
        <w:rPr>
          <w:lang w:val="es-ES"/>
        </w:rPr>
        <w:t>); tupí-guaraníes (</w:t>
      </w:r>
      <w:r w:rsidRPr="006149D1">
        <w:rPr>
          <w:i/>
          <w:lang w:val="es-ES"/>
        </w:rPr>
        <w:t>jaguar, gaucho, tucán, piraña</w:t>
      </w:r>
      <w:r>
        <w:rPr>
          <w:lang w:val="es-ES"/>
        </w:rPr>
        <w:t>).</w:t>
      </w:r>
    </w:p>
    <w:p w:rsidR="00AE337A" w:rsidRDefault="00AE337A" w:rsidP="00AE337A">
      <w:pPr>
        <w:pStyle w:val="Odstavecseseznamem"/>
        <w:numPr>
          <w:ilvl w:val="0"/>
          <w:numId w:val="4"/>
        </w:numPr>
        <w:rPr>
          <w:lang w:val="es-ES"/>
        </w:rPr>
      </w:pPr>
      <w:r>
        <w:rPr>
          <w:lang w:val="es-ES"/>
        </w:rPr>
        <w:t xml:space="preserve">Uso de americanismos generalizados: </w:t>
      </w:r>
      <w:r w:rsidRPr="006149D1">
        <w:rPr>
          <w:i/>
          <w:lang w:val="es-ES"/>
        </w:rPr>
        <w:t>amarrar</w:t>
      </w:r>
      <w:r>
        <w:rPr>
          <w:lang w:val="es-ES"/>
        </w:rPr>
        <w:t xml:space="preserve"> ‘atar’, </w:t>
      </w:r>
      <w:r w:rsidRPr="006149D1">
        <w:rPr>
          <w:i/>
          <w:lang w:val="es-ES"/>
        </w:rPr>
        <w:t>botar</w:t>
      </w:r>
      <w:r>
        <w:rPr>
          <w:lang w:val="es-ES"/>
        </w:rPr>
        <w:t xml:space="preserve"> ‘tirar’, </w:t>
      </w:r>
      <w:r w:rsidRPr="006149D1">
        <w:rPr>
          <w:i/>
          <w:lang w:val="es-ES"/>
        </w:rPr>
        <w:t>bravo</w:t>
      </w:r>
      <w:r>
        <w:rPr>
          <w:lang w:val="es-ES"/>
        </w:rPr>
        <w:t xml:space="preserve"> ‘enfadado, enojado’, </w:t>
      </w:r>
      <w:r w:rsidRPr="006149D1">
        <w:rPr>
          <w:i/>
          <w:lang w:val="es-ES"/>
        </w:rPr>
        <w:t>concreto</w:t>
      </w:r>
      <w:r>
        <w:rPr>
          <w:lang w:val="es-ES"/>
        </w:rPr>
        <w:t xml:space="preserve"> ‘hormigón’, </w:t>
      </w:r>
      <w:r w:rsidRPr="006149D1">
        <w:rPr>
          <w:i/>
          <w:lang w:val="es-ES"/>
        </w:rPr>
        <w:t>cuadra</w:t>
      </w:r>
      <w:r>
        <w:rPr>
          <w:lang w:val="es-ES"/>
        </w:rPr>
        <w:t xml:space="preserve"> ‘manzana’, </w:t>
      </w:r>
      <w:r w:rsidRPr="006149D1">
        <w:rPr>
          <w:i/>
          <w:lang w:val="es-ES"/>
        </w:rPr>
        <w:t>egresar</w:t>
      </w:r>
      <w:r>
        <w:rPr>
          <w:lang w:val="es-ES"/>
        </w:rPr>
        <w:t xml:space="preserve"> ‘graduarse’, </w:t>
      </w:r>
      <w:r w:rsidRPr="006149D1">
        <w:rPr>
          <w:i/>
          <w:lang w:val="es-ES"/>
        </w:rPr>
        <w:t>frijol</w:t>
      </w:r>
      <w:r>
        <w:rPr>
          <w:lang w:val="es-ES"/>
        </w:rPr>
        <w:t xml:space="preserve"> ‘alubia’, </w:t>
      </w:r>
      <w:r w:rsidRPr="006149D1">
        <w:rPr>
          <w:i/>
          <w:lang w:val="es-ES"/>
        </w:rPr>
        <w:t>manejar</w:t>
      </w:r>
      <w:r>
        <w:rPr>
          <w:lang w:val="es-ES"/>
        </w:rPr>
        <w:t xml:space="preserve"> ‘conducir’, </w:t>
      </w:r>
      <w:r w:rsidRPr="006149D1">
        <w:rPr>
          <w:i/>
          <w:lang w:val="es-ES"/>
        </w:rPr>
        <w:t>virar</w:t>
      </w:r>
      <w:r>
        <w:rPr>
          <w:lang w:val="es-ES"/>
        </w:rPr>
        <w:t xml:space="preserve"> ‘girar’, etc.;</w:t>
      </w:r>
    </w:p>
    <w:p w:rsidR="005E4864" w:rsidRDefault="005E4864" w:rsidP="00AE337A">
      <w:pPr>
        <w:pStyle w:val="Nadpis2"/>
        <w:rPr>
          <w:lang w:val="es-ES"/>
        </w:rPr>
        <w:sectPr w:rsidR="005E4864" w:rsidSect="005E4864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D247E8" w:rsidRDefault="00D247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s-ES"/>
        </w:rPr>
      </w:pPr>
      <w:r>
        <w:rPr>
          <w:lang w:val="es-ES"/>
        </w:rPr>
        <w:lastRenderedPageBreak/>
        <w:br w:type="page"/>
      </w:r>
    </w:p>
    <w:p w:rsidR="00AE337A" w:rsidRDefault="00AE337A" w:rsidP="00AE337A">
      <w:pPr>
        <w:pStyle w:val="Nadpis2"/>
        <w:rPr>
          <w:lang w:val="es-ES"/>
        </w:rPr>
      </w:pPr>
      <w:r>
        <w:rPr>
          <w:lang w:val="es-ES"/>
        </w:rPr>
        <w:lastRenderedPageBreak/>
        <w:t>Áreas del español en América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Al zonificar Hispanoamérica, las áreas resultantes siempre dependen del criterio o de los elementos que se manejan.</w:t>
      </w:r>
    </w:p>
    <w:p w:rsidR="00AE337A" w:rsidRDefault="00AE337A" w:rsidP="00AE337A">
      <w:pPr>
        <w:rPr>
          <w:lang w:val="es-ES"/>
        </w:rPr>
      </w:pPr>
      <w:r>
        <w:rPr>
          <w:lang w:val="es-ES"/>
        </w:rPr>
        <w:t>Hiroto Ueda – Varilex – elabora su propuesta a partir del léxico contemporáneo. Según él, las grandes áreas serían el Caribe, México, Centroamérica-Colombia-Venezuela, los Andes y el Cono Sur.</w:t>
      </w:r>
    </w:p>
    <w:p w:rsidR="00D247E8" w:rsidRDefault="00D247E8" w:rsidP="00AE337A">
      <w:pPr>
        <w:rPr>
          <w:lang w:val="es-ES"/>
        </w:rPr>
        <w:sectPr w:rsidR="00D247E8" w:rsidSect="005C58B1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60CA8483" wp14:editId="544A7C8A">
            <wp:extent cx="2478952" cy="3600000"/>
            <wp:effectExtent l="0" t="0" r="0" b="635"/>
            <wp:docPr id="7" name="Obrázek 7" descr="http://lecture.ecc.u-tokyo.ac.jp/%7Ecueda/varilex/enc/at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cture.ecc.u-tokyo.ac.jp/%7Ecueda/varilex/enc/atla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5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4898AA00" wp14:editId="23BEA31C">
            <wp:extent cx="4197367" cy="3600000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lang w:val="es-ES"/>
        </w:rPr>
      </w:pPr>
      <w:hyperlink r:id="rId16" w:history="1">
        <w:r w:rsidRPr="00460D90">
          <w:rPr>
            <w:rStyle w:val="Hypertextovodkaz"/>
            <w:lang w:val="es-ES"/>
          </w:rPr>
          <w:t>http://prosodia.upf.edu/atlasentonacion/mapa_l.html</w:t>
        </w:r>
      </w:hyperlink>
      <w:r>
        <w:rPr>
          <w:lang w:val="es-ES"/>
        </w:rPr>
        <w:t xml:space="preserve">. </w:t>
      </w:r>
    </w:p>
    <w:p w:rsidR="00D247E8" w:rsidRDefault="00D247E8" w:rsidP="00AE337A">
      <w:pPr>
        <w:rPr>
          <w:lang w:val="es-ES"/>
        </w:rPr>
        <w:sectPr w:rsidR="00D247E8" w:rsidSect="00D247E8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63842C3B" wp14:editId="60A1C313">
            <wp:extent cx="3433735" cy="3600000"/>
            <wp:effectExtent l="0" t="0" r="0" b="635"/>
            <wp:docPr id="13" name="Obrázek 13" descr="http://2.bp.blogspot.com/_WKBJrQlUSd4/TAHX6VTd9sI/AAAAAAAAAUo/QHTlZL8dFHo/s1600/Copia+de+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WKBJrQlUSd4/TAHX6VTd9sI/AAAAAAAAAUo/QHTlZL8dFHo/s1600/Copia+de+img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38C5A278" wp14:editId="10F6A505">
            <wp:extent cx="4093137" cy="3600000"/>
            <wp:effectExtent l="0" t="0" r="3175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3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612578F8" wp14:editId="759EBF39">
            <wp:extent cx="3336256" cy="3600000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661AD495" wp14:editId="2E5A411B">
            <wp:extent cx="2484000" cy="3240000"/>
            <wp:effectExtent l="0" t="0" r="0" b="0"/>
            <wp:docPr id="19" name="Obrázek 19" descr="C:\Users\Ivo Buzek\Downloads\Mapa_-_Paises_vosea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o Buzek\Downloads\Mapa_-_Paises_voseante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A" w:rsidRDefault="00AE337A" w:rsidP="00AE337A">
      <w:pPr>
        <w:rPr>
          <w:rStyle w:val="mw-mmv-title"/>
          <w:lang w:val="en-US"/>
        </w:rPr>
      </w:pPr>
      <w:r w:rsidRPr="00063FD7">
        <w:rPr>
          <w:rStyle w:val="mw-mmv-title"/>
          <w:lang w:val="en-US"/>
        </w:rPr>
        <w:t xml:space="preserve">Map of countries with </w:t>
      </w:r>
      <w:proofErr w:type="spellStart"/>
      <w:r w:rsidRPr="00063FD7">
        <w:rPr>
          <w:rStyle w:val="mw-mmv-title"/>
          <w:lang w:val="en-US"/>
        </w:rPr>
        <w:t>voseo</w:t>
      </w:r>
      <w:proofErr w:type="spellEnd"/>
      <w:r>
        <w:rPr>
          <w:rStyle w:val="mw-mmv-title"/>
          <w:lang w:val="en-US"/>
        </w:rPr>
        <w:t xml:space="preserve"> phenomena:</w:t>
      </w:r>
    </w:p>
    <w:p w:rsidR="00AE337A" w:rsidRDefault="00AE337A" w:rsidP="00AE337A">
      <w:pPr>
        <w:pStyle w:val="Odstavecseseznamem"/>
        <w:numPr>
          <w:ilvl w:val="0"/>
          <w:numId w:val="6"/>
        </w:numPr>
        <w:rPr>
          <w:rStyle w:val="mw-mmv-title"/>
          <w:lang w:val="en-US"/>
        </w:rPr>
      </w:pPr>
      <w:r w:rsidRPr="00063FD7">
        <w:rPr>
          <w:rStyle w:val="mw-mmv-title"/>
          <w:lang w:val="en-US"/>
        </w:rPr>
        <w:t xml:space="preserve"> </w:t>
      </w:r>
      <w:r w:rsidRPr="00063FD7">
        <w:rPr>
          <w:rStyle w:val="mw-mmv-title"/>
          <w:bdr w:val="single" w:sz="6" w:space="0" w:color="808080" w:frame="1"/>
          <w:shd w:val="clear" w:color="auto" w:fill="000070"/>
          <w:lang w:val="en-US"/>
        </w:rPr>
        <w:t> </w:t>
      </w:r>
      <w:r w:rsidRPr="00063FD7">
        <w:rPr>
          <w:rStyle w:val="mw-mmv-title"/>
          <w:lang w:val="en-US"/>
        </w:rPr>
        <w:t>  primary spoken and written form</w:t>
      </w:r>
    </w:p>
    <w:p w:rsidR="00AE337A" w:rsidRDefault="00AE337A" w:rsidP="00AE337A">
      <w:pPr>
        <w:pStyle w:val="Odstavecseseznamem"/>
        <w:numPr>
          <w:ilvl w:val="0"/>
          <w:numId w:val="6"/>
        </w:numPr>
        <w:rPr>
          <w:rStyle w:val="mw-mmv-title"/>
          <w:lang w:val="en-US"/>
        </w:rPr>
      </w:pPr>
      <w:r w:rsidRPr="00063FD7">
        <w:rPr>
          <w:rStyle w:val="mw-mmv-title"/>
          <w:lang w:val="en-US"/>
        </w:rPr>
        <w:t xml:space="preserve"> </w:t>
      </w:r>
      <w:r w:rsidRPr="00063FD7">
        <w:rPr>
          <w:rStyle w:val="mw-mmv-title"/>
          <w:bdr w:val="single" w:sz="6" w:space="0" w:color="808080" w:frame="1"/>
          <w:shd w:val="clear" w:color="auto" w:fill="0077E5"/>
          <w:lang w:val="en-US"/>
        </w:rPr>
        <w:t> </w:t>
      </w:r>
      <w:r w:rsidRPr="00063FD7">
        <w:rPr>
          <w:rStyle w:val="mw-mmv-title"/>
          <w:lang w:val="en-US"/>
        </w:rPr>
        <w:t>  primary spoken, but not in written form</w:t>
      </w:r>
    </w:p>
    <w:p w:rsidR="00AE337A" w:rsidRDefault="00AE337A" w:rsidP="00AE337A">
      <w:pPr>
        <w:pStyle w:val="Odstavecseseznamem"/>
        <w:numPr>
          <w:ilvl w:val="0"/>
          <w:numId w:val="6"/>
        </w:numPr>
        <w:rPr>
          <w:rStyle w:val="mw-mmv-title"/>
          <w:lang w:val="en-US"/>
        </w:rPr>
      </w:pPr>
      <w:r w:rsidRPr="00063FD7">
        <w:rPr>
          <w:rStyle w:val="mw-mmv-title"/>
          <w:lang w:val="en-US"/>
        </w:rPr>
        <w:t xml:space="preserve"> </w:t>
      </w:r>
      <w:r w:rsidRPr="00063FD7">
        <w:rPr>
          <w:rStyle w:val="mw-mmv-title"/>
          <w:bdr w:val="single" w:sz="6" w:space="0" w:color="808080" w:frame="1"/>
          <w:shd w:val="clear" w:color="auto" w:fill="A2D2FC"/>
          <w:lang w:val="en-US"/>
        </w:rPr>
        <w:t> </w:t>
      </w:r>
      <w:r w:rsidRPr="00063FD7">
        <w:rPr>
          <w:rStyle w:val="mw-mmv-title"/>
          <w:lang w:val="en-US"/>
        </w:rPr>
        <w:t>  '</w:t>
      </w:r>
      <w:proofErr w:type="spellStart"/>
      <w:r w:rsidRPr="00063FD7">
        <w:rPr>
          <w:rStyle w:val="mw-mmv-title"/>
          <w:lang w:val="en-US"/>
        </w:rPr>
        <w:t>Voseo</w:t>
      </w:r>
      <w:proofErr w:type="spellEnd"/>
      <w:r w:rsidRPr="00063FD7">
        <w:rPr>
          <w:rStyle w:val="mw-mmv-title"/>
          <w:lang w:val="en-US"/>
        </w:rPr>
        <w:t>' coexists with '</w:t>
      </w:r>
      <w:proofErr w:type="spellStart"/>
      <w:r w:rsidRPr="00063FD7">
        <w:rPr>
          <w:rStyle w:val="mw-mmv-title"/>
          <w:lang w:val="en-US"/>
        </w:rPr>
        <w:t>tuteo</w:t>
      </w:r>
      <w:proofErr w:type="spellEnd"/>
      <w:r w:rsidRPr="00063FD7">
        <w:rPr>
          <w:rStyle w:val="mw-mmv-title"/>
          <w:lang w:val="en-US"/>
        </w:rPr>
        <w:t>'</w:t>
      </w:r>
    </w:p>
    <w:p w:rsidR="00AE337A" w:rsidRPr="00063FD7" w:rsidRDefault="00AE337A" w:rsidP="00AE337A">
      <w:pPr>
        <w:pStyle w:val="Odstavecseseznamem"/>
        <w:numPr>
          <w:ilvl w:val="0"/>
          <w:numId w:val="6"/>
        </w:numPr>
        <w:rPr>
          <w:lang w:val="en-US"/>
        </w:rPr>
      </w:pPr>
      <w:r w:rsidRPr="00063FD7">
        <w:rPr>
          <w:rStyle w:val="mw-mmv-title"/>
          <w:lang w:val="en-US"/>
        </w:rPr>
        <w:t xml:space="preserve"> </w:t>
      </w:r>
      <w:r w:rsidRPr="00063FD7">
        <w:rPr>
          <w:rStyle w:val="mw-mmv-title"/>
          <w:bdr w:val="single" w:sz="6" w:space="0" w:color="808080" w:frame="1"/>
          <w:shd w:val="clear" w:color="auto" w:fill="8F8F8F"/>
          <w:lang w:val="en-US"/>
        </w:rPr>
        <w:t> </w:t>
      </w:r>
      <w:r w:rsidRPr="00063FD7">
        <w:rPr>
          <w:rStyle w:val="mw-mmv-title"/>
          <w:lang w:val="en-US"/>
        </w:rPr>
        <w:t xml:space="preserve">  Spanish-speaking country with </w:t>
      </w:r>
      <w:proofErr w:type="spellStart"/>
      <w:r w:rsidRPr="00063FD7">
        <w:rPr>
          <w:rStyle w:val="mw-mmv-title"/>
          <w:lang w:val="en-US"/>
        </w:rPr>
        <w:t>voseo</w:t>
      </w:r>
      <w:proofErr w:type="spellEnd"/>
      <w:r w:rsidRPr="00063FD7">
        <w:rPr>
          <w:rStyle w:val="mw-mmv-title"/>
          <w:lang w:val="en-US"/>
        </w:rPr>
        <w:t xml:space="preserve"> non-existent</w:t>
      </w:r>
    </w:p>
    <w:p w:rsidR="00AE337A" w:rsidRPr="00063FD7" w:rsidRDefault="00AE337A" w:rsidP="00AE337A">
      <w:pPr>
        <w:rPr>
          <w:lang w:val="en-US"/>
        </w:rPr>
      </w:pPr>
      <w:hyperlink r:id="rId21" w:history="1">
        <w:r w:rsidRPr="00063FD7">
          <w:rPr>
            <w:rStyle w:val="Hypertextovodkaz"/>
            <w:lang w:val="en-US"/>
          </w:rPr>
          <w:t>https://commons.wikimedia.org/wiki/File:Voseo-extension-real.PNG#/media/File:Voseo-extension-real.PNG</w:t>
        </w:r>
      </w:hyperlink>
      <w:r w:rsidRPr="00063FD7">
        <w:rPr>
          <w:lang w:val="en-US"/>
        </w:rPr>
        <w:t xml:space="preserve"> </w:t>
      </w:r>
    </w:p>
    <w:p w:rsidR="0023665F" w:rsidRPr="00AE337A" w:rsidRDefault="0023665F">
      <w:pPr>
        <w:rPr>
          <w:lang w:val="en-US"/>
        </w:rPr>
      </w:pPr>
    </w:p>
    <w:sectPr w:rsidR="0023665F" w:rsidRPr="00AE337A" w:rsidSect="00D247E8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252" w:rsidRDefault="004B3252" w:rsidP="00201E99">
      <w:pPr>
        <w:spacing w:after="0" w:line="240" w:lineRule="auto"/>
      </w:pPr>
      <w:r>
        <w:separator/>
      </w:r>
    </w:p>
  </w:endnote>
  <w:endnote w:type="continuationSeparator" w:id="0">
    <w:p w:rsidR="004B3252" w:rsidRDefault="004B3252" w:rsidP="00201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115385"/>
      <w:docPartObj>
        <w:docPartGallery w:val="Page Numbers (Bottom of Page)"/>
        <w:docPartUnique/>
      </w:docPartObj>
    </w:sdtPr>
    <w:sdtContent>
      <w:p w:rsidR="00201E99" w:rsidRDefault="00201E9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01E99" w:rsidRDefault="00201E9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252" w:rsidRDefault="004B3252" w:rsidP="00201E99">
      <w:pPr>
        <w:spacing w:after="0" w:line="240" w:lineRule="auto"/>
      </w:pPr>
      <w:r>
        <w:separator/>
      </w:r>
    </w:p>
  </w:footnote>
  <w:footnote w:type="continuationSeparator" w:id="0">
    <w:p w:rsidR="004B3252" w:rsidRDefault="004B3252" w:rsidP="00201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6389F"/>
    <w:multiLevelType w:val="hybridMultilevel"/>
    <w:tmpl w:val="D03067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A6AE5"/>
    <w:multiLevelType w:val="hybridMultilevel"/>
    <w:tmpl w:val="53262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70BE0"/>
    <w:multiLevelType w:val="hybridMultilevel"/>
    <w:tmpl w:val="B42808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71C82"/>
    <w:multiLevelType w:val="hybridMultilevel"/>
    <w:tmpl w:val="B2FAD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B47D98"/>
    <w:multiLevelType w:val="hybridMultilevel"/>
    <w:tmpl w:val="61EAA3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A2492"/>
    <w:multiLevelType w:val="hybridMultilevel"/>
    <w:tmpl w:val="3E0A8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6E2329"/>
    <w:multiLevelType w:val="hybridMultilevel"/>
    <w:tmpl w:val="25BAA4FA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F26D64"/>
    <w:multiLevelType w:val="hybridMultilevel"/>
    <w:tmpl w:val="E8AEDE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22A"/>
    <w:rsid w:val="00201E99"/>
    <w:rsid w:val="0023665F"/>
    <w:rsid w:val="004B3252"/>
    <w:rsid w:val="005C58B1"/>
    <w:rsid w:val="005E4864"/>
    <w:rsid w:val="00665CE6"/>
    <w:rsid w:val="008E222A"/>
    <w:rsid w:val="00AE337A"/>
    <w:rsid w:val="00CC5916"/>
    <w:rsid w:val="00D2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37A"/>
  </w:style>
  <w:style w:type="paragraph" w:styleId="Nadpis1">
    <w:name w:val="heading 1"/>
    <w:basedOn w:val="Normln"/>
    <w:next w:val="Normln"/>
    <w:link w:val="Nadpis1Char"/>
    <w:uiPriority w:val="9"/>
    <w:qFormat/>
    <w:rsid w:val="00AE3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3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3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E33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3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E33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E33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AE33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AE337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E337A"/>
    <w:rPr>
      <w:color w:val="0000FF" w:themeColor="hyperlink"/>
      <w:u w:val="single"/>
    </w:rPr>
  </w:style>
  <w:style w:type="character" w:customStyle="1" w:styleId="mw-mmv-title">
    <w:name w:val="mw-mmv-title"/>
    <w:basedOn w:val="Standardnpsmoodstavce"/>
    <w:rsid w:val="00AE337A"/>
  </w:style>
  <w:style w:type="table" w:styleId="Mkatabulky">
    <w:name w:val="Table Grid"/>
    <w:basedOn w:val="Normlntabulka"/>
    <w:rsid w:val="00AE3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E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37A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AE337A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0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1E99"/>
  </w:style>
  <w:style w:type="paragraph" w:styleId="Zpat">
    <w:name w:val="footer"/>
    <w:basedOn w:val="Normln"/>
    <w:link w:val="ZpatChar"/>
    <w:uiPriority w:val="99"/>
    <w:unhideWhenUsed/>
    <w:rsid w:val="0020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1E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37A"/>
  </w:style>
  <w:style w:type="paragraph" w:styleId="Nadpis1">
    <w:name w:val="heading 1"/>
    <w:basedOn w:val="Normln"/>
    <w:next w:val="Normln"/>
    <w:link w:val="Nadpis1Char"/>
    <w:uiPriority w:val="9"/>
    <w:qFormat/>
    <w:rsid w:val="00AE3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3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3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E33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33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E33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E33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AE33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AE337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E337A"/>
    <w:rPr>
      <w:color w:val="0000FF" w:themeColor="hyperlink"/>
      <w:u w:val="single"/>
    </w:rPr>
  </w:style>
  <w:style w:type="character" w:customStyle="1" w:styleId="mw-mmv-title">
    <w:name w:val="mw-mmv-title"/>
    <w:basedOn w:val="Standardnpsmoodstavce"/>
    <w:rsid w:val="00AE337A"/>
  </w:style>
  <w:style w:type="table" w:styleId="Mkatabulky">
    <w:name w:val="Table Grid"/>
    <w:basedOn w:val="Normlntabulka"/>
    <w:rsid w:val="00AE3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E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37A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AE337A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0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1E99"/>
  </w:style>
  <w:style w:type="paragraph" w:styleId="Zpat">
    <w:name w:val="footer"/>
    <w:basedOn w:val="Normln"/>
    <w:link w:val="ZpatChar"/>
    <w:uiPriority w:val="99"/>
    <w:unhideWhenUsed/>
    <w:rsid w:val="0020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1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s://commons.wikimedia.org/wiki/File:Voseo-extension-real.PNG#/media/File:Voseo-extension-real.P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ahistoriaconmapas.com/atlas/america-mapa/imagenes-del-mapa-de-america.htm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prosodia.upf.edu/atlasentonacion/mapa_l.html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latinamericahoy.es/2013/10/19/independencia-america-latina-1780-a-1810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878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Buzek</dc:creator>
  <cp:keywords/>
  <dc:description/>
  <cp:lastModifiedBy>Ivo Buzek</cp:lastModifiedBy>
  <cp:revision>4</cp:revision>
  <dcterms:created xsi:type="dcterms:W3CDTF">2016-03-25T15:37:00Z</dcterms:created>
  <dcterms:modified xsi:type="dcterms:W3CDTF">2016-03-25T16:02:00Z</dcterms:modified>
</cp:coreProperties>
</file>