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6F" w:rsidRPr="00B40488" w:rsidRDefault="00E9256F" w:rsidP="00C02572">
      <w:pPr>
        <w:pStyle w:val="Nadpis1"/>
      </w:pPr>
      <w:r w:rsidRPr="00B40488">
        <w:t>Požadavky na zpracování so</w:t>
      </w:r>
      <w:r w:rsidR="00B83305" w:rsidRPr="00B40488">
        <w:t>udního sporu (rozepsané zadání)</w:t>
      </w:r>
    </w:p>
    <w:p w:rsidR="00136FBC" w:rsidRPr="00B40488" w:rsidRDefault="00136FBC" w:rsidP="00136FBC">
      <w:pPr>
        <w:numPr>
          <w:ilvl w:val="0"/>
          <w:numId w:val="9"/>
        </w:numPr>
      </w:pPr>
      <w:r w:rsidRPr="00B40488">
        <w:t xml:space="preserve">Najděte rozhodnutí soudu k jednomu ze zákonů, </w:t>
      </w:r>
      <w:r w:rsidRPr="00B40488">
        <w:rPr>
          <w:b/>
        </w:rPr>
        <w:t>ke kterému jste přihlášeni</w:t>
      </w:r>
      <w:r w:rsidRPr="00B40488">
        <w:t xml:space="preserve"> pro prezentaci v balíku témat.</w:t>
      </w:r>
      <w:r w:rsidR="00365541">
        <w:t xml:space="preserve"> Nesmí se jednat o rozhodnutí zpracované v rámci dále uvedených příkladů.</w:t>
      </w:r>
      <w:r w:rsidR="00662F73">
        <w:t xml:space="preserve"> Souvislost k danému zákonu musí být v podstatě sporu, ne jen dílčí.</w:t>
      </w:r>
      <w:bookmarkStart w:id="0" w:name="_GoBack"/>
      <w:bookmarkEnd w:id="0"/>
    </w:p>
    <w:p w:rsidR="00136FBC" w:rsidRPr="00B40488" w:rsidRDefault="00136FBC" w:rsidP="00136FBC">
      <w:pPr>
        <w:numPr>
          <w:ilvl w:val="0"/>
          <w:numId w:val="9"/>
        </w:numPr>
      </w:pPr>
      <w:r w:rsidRPr="00B40488">
        <w:rPr>
          <w:b/>
        </w:rPr>
        <w:t>Rozhodnutí</w:t>
      </w:r>
      <w:r w:rsidRPr="00B40488">
        <w:t xml:space="preserve"> si přečtěte.</w:t>
      </w:r>
    </w:p>
    <w:p w:rsidR="00136FBC" w:rsidRPr="00B40488" w:rsidRDefault="00136FBC" w:rsidP="00136FBC">
      <w:pPr>
        <w:numPr>
          <w:ilvl w:val="0"/>
          <w:numId w:val="9"/>
        </w:numPr>
      </w:pPr>
      <w:r w:rsidRPr="00B40488">
        <w:t xml:space="preserve">Dohledejte si </w:t>
      </w:r>
      <w:r w:rsidRPr="00B40488">
        <w:rPr>
          <w:b/>
        </w:rPr>
        <w:t>právní předpisy</w:t>
      </w:r>
      <w:r w:rsidRPr="00B40488">
        <w:t>, na které se odkazuje a přečtěte si (minimálně) použité části těcht</w:t>
      </w:r>
      <w:r w:rsidR="00B40488" w:rsidRPr="00B40488">
        <w:t>o</w:t>
      </w:r>
      <w:r w:rsidRPr="00B40488">
        <w:t xml:space="preserve"> zákonů.</w:t>
      </w:r>
    </w:p>
    <w:p w:rsidR="00E9256F" w:rsidRPr="00B40488" w:rsidRDefault="00136FBC" w:rsidP="00136FBC">
      <w:pPr>
        <w:numPr>
          <w:ilvl w:val="0"/>
          <w:numId w:val="9"/>
        </w:numPr>
      </w:pPr>
      <w:r w:rsidRPr="00B40488">
        <w:t xml:space="preserve">Napište </w:t>
      </w:r>
      <w:r w:rsidR="00E9256F" w:rsidRPr="00B40488">
        <w:rPr>
          <w:b/>
        </w:rPr>
        <w:t>výhradně vlastními slovy</w:t>
      </w:r>
      <w:r w:rsidR="00E9256F" w:rsidRPr="00B40488">
        <w:t xml:space="preserve"> </w:t>
      </w:r>
      <w:r w:rsidRPr="00B40488">
        <w:t>(</w:t>
      </w:r>
      <w:r w:rsidR="00E9256F" w:rsidRPr="00B40488">
        <w:t>tj. žádné přímé citace</w:t>
      </w:r>
      <w:r w:rsidR="00B40488">
        <w:t>, pouze parafráze, které jsou náležitě označeny</w:t>
      </w:r>
      <w:r w:rsidRPr="00B40488">
        <w:t>), o co ve sporu šlo a jak to dopadlo.</w:t>
      </w:r>
    </w:p>
    <w:p w:rsidR="00E9256F" w:rsidRPr="00B40488" w:rsidRDefault="00E9256F" w:rsidP="00136FBC">
      <w:pPr>
        <w:numPr>
          <w:ilvl w:val="1"/>
          <w:numId w:val="10"/>
        </w:numPr>
      </w:pPr>
      <w:r w:rsidRPr="00B40488">
        <w:t xml:space="preserve">Není nutné popisovat všechny peripetie, důležitá je </w:t>
      </w:r>
      <w:r w:rsidRPr="00B40488">
        <w:rPr>
          <w:b/>
        </w:rPr>
        <w:t>podstata sporu, argumenty obou stran a zdůvodněný výsledek</w:t>
      </w:r>
      <w:r w:rsidR="00136FBC" w:rsidRPr="00B40488">
        <w:t>.</w:t>
      </w:r>
    </w:p>
    <w:p w:rsidR="00E9256F" w:rsidRPr="00B40488" w:rsidRDefault="00E9256F" w:rsidP="00136FBC">
      <w:pPr>
        <w:numPr>
          <w:ilvl w:val="1"/>
          <w:numId w:val="10"/>
        </w:numPr>
      </w:pPr>
      <w:r w:rsidRPr="00B40488">
        <w:t>Snažte se o vlastní interpretaci, ale s opřením se o použité právní dokumenty</w:t>
      </w:r>
      <w:r w:rsidR="00136FBC" w:rsidRPr="00B40488">
        <w:t>.</w:t>
      </w:r>
    </w:p>
    <w:p w:rsidR="00136FBC" w:rsidRPr="00B40488" w:rsidRDefault="00136FBC" w:rsidP="00136FBC">
      <w:pPr>
        <w:numPr>
          <w:ilvl w:val="0"/>
          <w:numId w:val="9"/>
        </w:numPr>
      </w:pPr>
      <w:r w:rsidRPr="00B40488">
        <w:t xml:space="preserve">Na konec úkolu napište </w:t>
      </w:r>
      <w:r w:rsidRPr="00B40488">
        <w:rPr>
          <w:b/>
        </w:rPr>
        <w:t>použité zdroje ve správné formě</w:t>
      </w:r>
      <w:r w:rsidR="00B40488">
        <w:rPr>
          <w:b/>
        </w:rPr>
        <w:t xml:space="preserve"> </w:t>
      </w:r>
      <w:r w:rsidR="00B40488">
        <w:t>(ne ISO 690, ale právní pravidla)</w:t>
      </w:r>
      <w:r w:rsidRPr="00B40488">
        <w:t xml:space="preserve">. Vzhledem k výše uvedenému bude mezi zdroji </w:t>
      </w:r>
      <w:r w:rsidRPr="00B40488">
        <w:rPr>
          <w:b/>
        </w:rPr>
        <w:t xml:space="preserve">minimálně 1 </w:t>
      </w:r>
      <w:r w:rsidR="00B40488" w:rsidRPr="00B40488">
        <w:rPr>
          <w:b/>
        </w:rPr>
        <w:t>rozhodnutí</w:t>
      </w:r>
      <w:r w:rsidRPr="00B40488">
        <w:rPr>
          <w:b/>
        </w:rPr>
        <w:t xml:space="preserve"> soudu a 1 zákon</w:t>
      </w:r>
      <w:r w:rsidRPr="00B40488">
        <w:t xml:space="preserve"> (pozor na správné </w:t>
      </w:r>
      <w:r w:rsidRPr="00B40488">
        <w:rPr>
          <w:b/>
        </w:rPr>
        <w:t>znění</w:t>
      </w:r>
      <w:r w:rsidRPr="00B40488">
        <w:t>), ale pokud jste použili i další zdroje, tak je samozřejmě také uvedete (ve správné formě).</w:t>
      </w:r>
    </w:p>
    <w:p w:rsidR="00E9256F" w:rsidRPr="00B40488" w:rsidRDefault="00E9256F" w:rsidP="00136FBC">
      <w:pPr>
        <w:numPr>
          <w:ilvl w:val="0"/>
          <w:numId w:val="9"/>
        </w:numPr>
      </w:pPr>
      <w:r w:rsidRPr="00B40488">
        <w:t>Text vlož</w:t>
      </w:r>
      <w:r w:rsidR="00136FBC" w:rsidRPr="00B40488">
        <w:t>te</w:t>
      </w:r>
      <w:r w:rsidRPr="00B40488">
        <w:t xml:space="preserve"> do </w:t>
      </w:r>
      <w:r w:rsidRPr="00B40488">
        <w:rPr>
          <w:b/>
        </w:rPr>
        <w:t>odevzdávárny</w:t>
      </w:r>
      <w:r w:rsidRPr="00B40488">
        <w:t xml:space="preserve"> nejpozději </w:t>
      </w:r>
      <w:r w:rsidRPr="00B40488">
        <w:rPr>
          <w:b/>
        </w:rPr>
        <w:t>v neděli před cvičením</w:t>
      </w:r>
      <w:r w:rsidRPr="00B40488">
        <w:t>, kde bude prezentován</w:t>
      </w:r>
      <w:r w:rsidR="00136FBC" w:rsidRPr="00B40488">
        <w:t>.</w:t>
      </w:r>
    </w:p>
    <w:p w:rsidR="00B40488" w:rsidRDefault="00136FBC" w:rsidP="00136FBC">
      <w:pPr>
        <w:numPr>
          <w:ilvl w:val="0"/>
          <w:numId w:val="9"/>
        </w:numPr>
      </w:pPr>
      <w:r w:rsidRPr="00B40488">
        <w:t>S</w:t>
      </w:r>
      <w:r w:rsidR="00E9256F" w:rsidRPr="00B40488">
        <w:t>por</w:t>
      </w:r>
      <w:r w:rsidRPr="00B40488">
        <w:t xml:space="preserve"> </w:t>
      </w:r>
      <w:r w:rsidR="00E9256F" w:rsidRPr="00B40488">
        <w:rPr>
          <w:b/>
        </w:rPr>
        <w:t>prezent</w:t>
      </w:r>
      <w:r w:rsidRPr="00B40488">
        <w:rPr>
          <w:b/>
        </w:rPr>
        <w:t>ujete</w:t>
      </w:r>
      <w:r w:rsidRPr="00B40488">
        <w:t xml:space="preserve"> v termínu, na který jste se přihlásili, ať už textové zpracování přijmu, nebo si vyžádám opravu.</w:t>
      </w:r>
      <w:r w:rsidR="00E9256F" w:rsidRPr="00B40488">
        <w:t xml:space="preserve"> </w:t>
      </w:r>
    </w:p>
    <w:p w:rsidR="00E9256F" w:rsidRPr="00B40488" w:rsidRDefault="00136FBC" w:rsidP="00F942AB">
      <w:pPr>
        <w:numPr>
          <w:ilvl w:val="0"/>
          <w:numId w:val="9"/>
        </w:numPr>
      </w:pPr>
      <w:r w:rsidRPr="00B40488">
        <w:rPr>
          <w:b/>
        </w:rPr>
        <w:t>O</w:t>
      </w:r>
      <w:r w:rsidR="00E9256F" w:rsidRPr="00B40488">
        <w:rPr>
          <w:b/>
        </w:rPr>
        <w:t>prava</w:t>
      </w:r>
      <w:r w:rsidR="00B40488">
        <w:t xml:space="preserve"> textu</w:t>
      </w:r>
      <w:r w:rsidR="00E9256F" w:rsidRPr="00B40488">
        <w:t xml:space="preserve"> již probíhá nezávisle na prezentaci</w:t>
      </w:r>
      <w:r w:rsidRPr="00B40488">
        <w:t xml:space="preserve">, budete na ni mít </w:t>
      </w:r>
      <w:r w:rsidRPr="00B40488">
        <w:rPr>
          <w:b/>
        </w:rPr>
        <w:t>7 dní od dne</w:t>
      </w:r>
      <w:r w:rsidRPr="00B40488">
        <w:t>, kdy jsem vám přes poznámkový blok poslala do e-mailu své vyjádření.</w:t>
      </w:r>
      <w:r w:rsidR="00B40488">
        <w:t xml:space="preserve"> </w:t>
      </w:r>
      <w:r w:rsidR="00E9256F" w:rsidRPr="00B40488">
        <w:t xml:space="preserve">Každý má </w:t>
      </w:r>
      <w:r w:rsidR="00E9256F" w:rsidRPr="00B40488">
        <w:rPr>
          <w:b/>
        </w:rPr>
        <w:t>jednu</w:t>
      </w:r>
      <w:r w:rsidR="00E9256F" w:rsidRPr="00B40488">
        <w:t xml:space="preserve"> možnost písemné opravy na základě zpětné vazby, je možné konzultovat řešení e-mailem</w:t>
      </w:r>
      <w:r w:rsidR="005A6148" w:rsidRPr="00B40488">
        <w:t>.</w:t>
      </w:r>
    </w:p>
    <w:p w:rsidR="00E9256F" w:rsidRPr="00B40488" w:rsidRDefault="00E9256F" w:rsidP="00136FBC">
      <w:pPr>
        <w:numPr>
          <w:ilvl w:val="0"/>
          <w:numId w:val="9"/>
        </w:numPr>
      </w:pPr>
      <w:r w:rsidRPr="00B40488">
        <w:t xml:space="preserve">Pokud oprava stále není v pořádku, do konce výuky je nutné se domluvit na termín </w:t>
      </w:r>
      <w:r w:rsidR="00B40488" w:rsidRPr="00B40488">
        <w:rPr>
          <w:b/>
        </w:rPr>
        <w:t>osobní konzultace</w:t>
      </w:r>
      <w:r w:rsidRPr="00B40488">
        <w:t>, kde si vysvětlíme, jaké má být řešení, jehož pochopení již na schůzce nebo v nejbližších dnech po ní prokážete</w:t>
      </w:r>
      <w:r w:rsidR="005A6148" w:rsidRPr="00B40488">
        <w:t xml:space="preserve"> finálním zpracováním textu.</w:t>
      </w:r>
    </w:p>
    <w:p w:rsidR="00E41FB9" w:rsidRPr="00B40488" w:rsidRDefault="00C02572" w:rsidP="00417CB1">
      <w:pPr>
        <w:pStyle w:val="Nadpis1"/>
      </w:pPr>
      <w:r w:rsidRPr="00B40488">
        <w:br w:type="page"/>
      </w:r>
      <w:r w:rsidRPr="00B40488">
        <w:lastRenderedPageBreak/>
        <w:t>Příklady zpracování</w:t>
      </w:r>
    </w:p>
    <w:p w:rsidR="00614B8D" w:rsidRPr="00E71B0C" w:rsidRDefault="00614B8D" w:rsidP="00E71B0C">
      <w:pPr>
        <w:pStyle w:val="Nadpis2"/>
      </w:pPr>
      <w:r w:rsidRPr="00E71B0C">
        <w:t>Autor: Lenka Malá</w:t>
      </w:r>
    </w:p>
    <w:p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>Žalobce</w:t>
      </w:r>
      <w:r w:rsidRPr="004C6706">
        <w:rPr>
          <w:rFonts w:ascii="Calibri" w:hAnsi="Calibri" w:cs="Calibri"/>
          <w:sz w:val="21"/>
          <w:szCs w:val="21"/>
        </w:rPr>
        <w:t xml:space="preserve">: Mgr. T. N. </w:t>
      </w:r>
    </w:p>
    <w:p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>Žalovaný</w:t>
      </w:r>
      <w:r w:rsidRPr="004C6706">
        <w:rPr>
          <w:rFonts w:ascii="Calibri" w:hAnsi="Calibri" w:cs="Calibri"/>
          <w:sz w:val="21"/>
          <w:szCs w:val="21"/>
        </w:rPr>
        <w:t xml:space="preserve">: Ministerstvo vnitra </w:t>
      </w:r>
    </w:p>
    <w:p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 xml:space="preserve">Spor: </w:t>
      </w:r>
      <w:r w:rsidRPr="004C6706">
        <w:rPr>
          <w:rFonts w:ascii="Calibri" w:hAnsi="Calibri" w:cs="Calibri"/>
          <w:sz w:val="21"/>
          <w:szCs w:val="21"/>
        </w:rPr>
        <w:t xml:space="preserve">Právo na informace: poskytnutí jmenného seznamu osob, kterým bylo mimořádně uděleno státní občanství České republiky </w:t>
      </w:r>
    </w:p>
    <w:p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 xml:space="preserve">Právní spisy: </w:t>
      </w:r>
      <w:r w:rsidRPr="004C6706">
        <w:rPr>
          <w:rFonts w:ascii="Calibri" w:hAnsi="Calibri" w:cs="Calibri"/>
          <w:sz w:val="21"/>
          <w:szCs w:val="21"/>
        </w:rPr>
        <w:t xml:space="preserve">zákon č. 106/1999 Sb., o svobodném přístupu k informacím; zákon č. 101/2000 Sb., o ochraně osobních údajů; předpis č. 2/1993 Listina základních práv a svobod </w:t>
      </w:r>
    </w:p>
    <w:p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>Časové kontinuum sporu</w:t>
      </w:r>
      <w:r w:rsidRPr="004C6706">
        <w:rPr>
          <w:rFonts w:ascii="Calibri" w:hAnsi="Calibri" w:cs="Calibri"/>
          <w:sz w:val="21"/>
          <w:szCs w:val="21"/>
        </w:rPr>
        <w:t xml:space="preserve">: 7.5.2012 (datum žádosti žalobce na požadovaný seznam) </w:t>
      </w:r>
    </w:p>
    <w:p w:rsidR="00614B8D" w:rsidRPr="004C6706" w:rsidRDefault="00614B8D" w:rsidP="00614B8D">
      <w:pPr>
        <w:pStyle w:val="Default"/>
        <w:spacing w:line="276" w:lineRule="auto"/>
        <w:ind w:left="2268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 xml:space="preserve">26.7.2012 (rozsudek ministra vnitra) </w:t>
      </w:r>
    </w:p>
    <w:p w:rsidR="00614B8D" w:rsidRPr="004C6706" w:rsidRDefault="00614B8D" w:rsidP="00614B8D">
      <w:pPr>
        <w:pStyle w:val="Default"/>
        <w:spacing w:line="276" w:lineRule="auto"/>
        <w:ind w:left="2268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 xml:space="preserve">16.4.2014 (rozsudek Městského soudu v Praze) </w:t>
      </w:r>
    </w:p>
    <w:p w:rsidR="00614B8D" w:rsidRPr="004C6706" w:rsidRDefault="00614B8D" w:rsidP="00614B8D">
      <w:pPr>
        <w:pStyle w:val="Default"/>
        <w:spacing w:line="276" w:lineRule="auto"/>
        <w:ind w:left="2268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 xml:space="preserve">13.8.2014 (rozsudek Nejvyššího správního soudu) </w:t>
      </w:r>
    </w:p>
    <w:p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>Spor započal, když Mgr. T. N. zažádal Ministerstvo vnitra o jmenný seznam osob, kterým bylo uděleno státní občanství v letech 2010, 2011 a 2012. Jednalo se o osoby, jež získaly české státní občanství s udělením výjimky, z důvodu významného přínosu pro Českou republiku zejména v oblasti vědecké, společenské, kulturní či sportovní. Žalobce Mgr. T. N. se opíral se o zákon č. 106/1999 Sb., o svobodném přístupu k informacím. Žalované Ministerstvo vnitra odmítlo vyhovět této žádosti s odůvodněním, že tyto informace jednak nemá k dispozici a jednak se jedná o citlivé osobní údaje (zákon č. 101/2000 Sb., o ochraně osobních údajů). Žalobce tedy podal rozklad</w:t>
      </w:r>
      <w:r w:rsidRPr="004C6706">
        <w:rPr>
          <w:rStyle w:val="Znakapoznpodarou"/>
          <w:rFonts w:ascii="Calibri" w:hAnsi="Calibri" w:cs="Calibri"/>
          <w:sz w:val="21"/>
          <w:szCs w:val="21"/>
        </w:rPr>
        <w:footnoteReference w:id="1"/>
      </w:r>
      <w:r w:rsidRPr="004C6706">
        <w:rPr>
          <w:rFonts w:ascii="Calibri" w:hAnsi="Calibri" w:cs="Calibri"/>
          <w:sz w:val="21"/>
          <w:szCs w:val="21"/>
        </w:rPr>
        <w:t>, který ovšem zamítl ministr vnitra</w:t>
      </w:r>
      <w:r w:rsidRPr="004C6706">
        <w:rPr>
          <w:rStyle w:val="Znakapoznpodarou"/>
          <w:rFonts w:ascii="Calibri" w:hAnsi="Calibri" w:cs="Calibri"/>
          <w:sz w:val="21"/>
          <w:szCs w:val="21"/>
        </w:rPr>
        <w:footnoteReference w:id="2"/>
      </w:r>
      <w:r w:rsidRPr="004C6706">
        <w:rPr>
          <w:rFonts w:ascii="Calibri" w:hAnsi="Calibri" w:cs="Calibri"/>
          <w:sz w:val="21"/>
          <w:szCs w:val="21"/>
        </w:rPr>
        <w:t xml:space="preserve">, opět s odůvodněním, že se jedná o citlivé osobní údaje. Žalobce Mgr. T. N. podal další žalobu, tentokrát tedy proti rozhodnutí ministra vnitra, kterou však záhy zamítl Městský soud v Praze. Tato celá situace se dostala až k Nejvyššímu správnímu soudu v Brně. Předmětem sporu byla otázka, zda je povinností Ministerstva vnitra poskytnout žalobci požadovanou informaci. Nejvyšší správní soud rozhodl, že požadované informace obsahují osobní údaje (jména a příjmení), neobsahují však citlivé osobní údaje, tzn. informace nevypovídají o národnostním, rasovém nebo etnickém původu, politickém přesvědčení apod. Poté se soud zabýval kolizí práva na informace a práva na ochranu osobních údajů. Bylo nutno rozhodnout, které právo z těchto dvou převyšuje, zda převažuje právem chráněný zájem žalobce na poskytnutí informace nebo právo na soukromí subjektů údajů. Nejvyšší správní soud v Brně uzavírá spor s rozhodnutím, že poskytnutí požadované informace není v rozporu se zákonem na ochranu osobních údajů. Nejvyšší správní soud proto rozhodl, že kasační stížnost žalobce byla důvodná, zrušil rozsudek Městského soudu v Praze a zrušil i rozhodnutí ministra vnitra, vrátil žalovanému spor k dalšímu řízení (je však vázán názorem Nejvyššího správního soudu) a rozhodl, že žalovaný musí zaplatit žalobci náklady na řízení ve výši 8 000 Kč (3 000 Kč za žalobu, 5 000 Kč za kasační stížnost). </w:t>
      </w:r>
    </w:p>
    <w:p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 xml:space="preserve">Zdroje </w:t>
      </w:r>
    </w:p>
    <w:p w:rsidR="00614B8D" w:rsidRPr="004C6706" w:rsidRDefault="00614B8D" w:rsidP="00614B8D">
      <w:pPr>
        <w:pStyle w:val="Default"/>
        <w:numPr>
          <w:ilvl w:val="2"/>
          <w:numId w:val="10"/>
        </w:numPr>
        <w:spacing w:line="276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 xml:space="preserve">Rozhodnutí Nejvyššího správního soudu v Brně sp. zn. 1 As 78/2014 – 41, ze dne 13.8.2014, (online). Dostupné z: http://www.nssoud.cz/files/SOUDNI_VYKON/2014/0078_1As__140_20140821150638_ prevedeno.pdf </w:t>
      </w:r>
    </w:p>
    <w:p w:rsidR="00614B8D" w:rsidRPr="004C6706" w:rsidRDefault="00614B8D" w:rsidP="00614B8D">
      <w:pPr>
        <w:pStyle w:val="Default"/>
        <w:numPr>
          <w:ilvl w:val="2"/>
          <w:numId w:val="10"/>
        </w:numPr>
        <w:spacing w:line="276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 xml:space="preserve">Zákon č. 106/1999 Sb., o svobodném přístupu k informacím, ve znění zákona č. 167/2012 Sb. (online). Dostupné z: http://www.zakonyprolidi.cz/cs/1999-106 </w:t>
      </w:r>
    </w:p>
    <w:p w:rsidR="00614B8D" w:rsidRPr="004C6706" w:rsidRDefault="00614B8D" w:rsidP="00614B8D">
      <w:pPr>
        <w:pStyle w:val="Default"/>
        <w:numPr>
          <w:ilvl w:val="2"/>
          <w:numId w:val="10"/>
        </w:numPr>
        <w:spacing w:line="276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lastRenderedPageBreak/>
        <w:t xml:space="preserve">Zákon č. 101/2000 Sb., o ochraně osobních údajů a o změně některých zákonů, ve znění zákona č. 64/2014 Sb (online) Dostupné z: http://www.zakonyprolidi.cz/cs/2000-101 </w:t>
      </w:r>
    </w:p>
    <w:p w:rsidR="00614B8D" w:rsidRPr="004C6706" w:rsidRDefault="00614B8D" w:rsidP="00614B8D">
      <w:pPr>
        <w:pStyle w:val="Default"/>
        <w:numPr>
          <w:ilvl w:val="2"/>
          <w:numId w:val="10"/>
        </w:numPr>
        <w:spacing w:line="276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 xml:space="preserve">Předpis č. 2/1993 Listina základních práv a svobod, ve znění novely č. 162/1998 Sb. (online) Dostupné z: http://www.zakonyprolidi.cz/cs/1993-2 </w:t>
      </w:r>
    </w:p>
    <w:p w:rsidR="00614B8D" w:rsidRPr="004C6706" w:rsidRDefault="00614B8D" w:rsidP="00614B8D">
      <w:pPr>
        <w:pStyle w:val="Nadpis2"/>
        <w:spacing w:line="276" w:lineRule="auto"/>
        <w:jc w:val="both"/>
        <w:rPr>
          <w:rStyle w:val="Siln"/>
          <w:rFonts w:ascii="Calibri" w:hAnsi="Calibri" w:cs="Calibri"/>
          <w:sz w:val="21"/>
          <w:szCs w:val="21"/>
        </w:rPr>
      </w:pPr>
    </w:p>
    <w:p w:rsidR="00D0188E" w:rsidRPr="00B40488" w:rsidRDefault="00D0188E" w:rsidP="00D0188E">
      <w:pPr>
        <w:pStyle w:val="Nadpis2"/>
      </w:pPr>
      <w:r w:rsidRPr="00B40488">
        <w:t>A</w:t>
      </w:r>
      <w:r w:rsidR="00E71B0C">
        <w:t>utor: Pavel Šáda</w:t>
      </w:r>
    </w:p>
    <w:p w:rsidR="00D0188E" w:rsidRPr="00B40488" w:rsidRDefault="00D0188E" w:rsidP="00D0188E">
      <w:pPr>
        <w:spacing w:line="360" w:lineRule="auto"/>
        <w:rPr>
          <w:rFonts w:cs="Calibri"/>
        </w:rPr>
      </w:pPr>
      <w:r w:rsidRPr="00B40488">
        <w:rPr>
          <w:rFonts w:cs="Calibri"/>
          <w:b/>
        </w:rPr>
        <w:t>Spisová značka:</w:t>
      </w:r>
      <w:r w:rsidRPr="00B40488">
        <w:rPr>
          <w:rFonts w:cs="Calibri"/>
        </w:rPr>
        <w:t xml:space="preserve"> 3 As 124/2013 - 34</w:t>
      </w:r>
    </w:p>
    <w:p w:rsidR="00D0188E" w:rsidRPr="00B40488" w:rsidRDefault="00D0188E" w:rsidP="00D0188E">
      <w:pPr>
        <w:spacing w:line="360" w:lineRule="auto"/>
        <w:rPr>
          <w:rFonts w:cs="Calibri"/>
        </w:rPr>
      </w:pPr>
      <w:r w:rsidRPr="00B40488">
        <w:rPr>
          <w:rFonts w:cs="Calibri"/>
          <w:b/>
        </w:rPr>
        <w:t>Žalobce:</w:t>
      </w:r>
      <w:r w:rsidRPr="00B40488">
        <w:rPr>
          <w:rFonts w:cs="Calibri"/>
        </w:rPr>
        <w:t xml:space="preserve"> 3 D production, s.r.o.</w:t>
      </w:r>
    </w:p>
    <w:p w:rsidR="00D0188E" w:rsidRPr="00B40488" w:rsidRDefault="00D0188E" w:rsidP="00D0188E">
      <w:pPr>
        <w:spacing w:line="360" w:lineRule="auto"/>
        <w:rPr>
          <w:rFonts w:cs="Calibri"/>
        </w:rPr>
      </w:pPr>
      <w:r w:rsidRPr="00B40488">
        <w:rPr>
          <w:rFonts w:cs="Calibri"/>
          <w:b/>
        </w:rPr>
        <w:t>Žalovaný:</w:t>
      </w:r>
      <w:r w:rsidRPr="00B40488">
        <w:rPr>
          <w:rFonts w:cs="Calibri"/>
        </w:rPr>
        <w:t xml:space="preserve"> Úřad pro ochranu osobních údajů</w:t>
      </w:r>
    </w:p>
    <w:p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</w:rPr>
        <w:t>Žalobce (dále také „stěžovatel“) má na svých nemovitostech (v ulicích Michnovka a Hlubočepská, Praha 5) umístěný kamerový systém monitorující pohyb, který žalovaný podrobil kontrole (ve dnech od 30. 3. 2011 do 17. 2. 2012), se zaměřením na dodržování povinností plynoucích ze zákona o ochraně osobních údajů</w:t>
      </w:r>
      <w:r w:rsidRPr="00B40488">
        <w:rPr>
          <w:rStyle w:val="Znakapoznpodarou"/>
          <w:rFonts w:cs="Calibri"/>
        </w:rPr>
        <w:footnoteReference w:id="3"/>
      </w:r>
      <w:r w:rsidRPr="00B40488">
        <w:rPr>
          <w:rFonts w:cs="Calibri"/>
        </w:rPr>
        <w:t>. Výsledkem kontroly byl kontrolní protokol (ze dne 15. 3. 2012, dále jen „protokol“), ve kterém byla žalobci uložena opatření k nápravě. Žalobce s uloženými opatřeními nesouhlasil a tak podal námitky proti kontrolnímu protokolu, které však byly zamítnuty předsedou žalovaného. S tím žalobce nesouhlasil a podal žalobu k Městskému soudu v Praze (dále jen „Městský soud“). Městský soud opatření shledal v souladu se zákonem č. 101/2000 Sb.</w:t>
      </w:r>
      <w:r w:rsidRPr="00B40488">
        <w:rPr>
          <w:rStyle w:val="Znakapoznpodarou"/>
          <w:rFonts w:cs="Calibri"/>
        </w:rPr>
        <w:footnoteReference w:id="4"/>
      </w:r>
      <w:r w:rsidRPr="00B40488">
        <w:rPr>
          <w:rFonts w:cs="Calibri"/>
        </w:rPr>
        <w:t xml:space="preserve"> a dne 12. 11. 2013 označil žalobu jako nedůvodnou. Žalobce následně podal kasační stížnost k Nejvyšším správnímu soudu s odkazem na § 103 odst. 1 písm. a) a b)</w:t>
      </w:r>
      <w:r w:rsidRPr="00B40488">
        <w:rPr>
          <w:rStyle w:val="Znakapoznpodarou"/>
          <w:rFonts w:cs="Calibri"/>
        </w:rPr>
        <w:footnoteReference w:id="5"/>
      </w:r>
      <w:r w:rsidRPr="00B40488">
        <w:rPr>
          <w:rFonts w:cs="Calibri"/>
        </w:rPr>
        <w:t>.</w:t>
      </w:r>
    </w:p>
    <w:p w:rsidR="00D0188E" w:rsidRPr="00B40488" w:rsidRDefault="00D0188E" w:rsidP="00D0188E">
      <w:pPr>
        <w:spacing w:line="360" w:lineRule="auto"/>
        <w:jc w:val="both"/>
        <w:rPr>
          <w:rFonts w:cs="Calibri"/>
          <w:b/>
        </w:rPr>
      </w:pPr>
      <w:r w:rsidRPr="00B40488">
        <w:rPr>
          <w:rFonts w:cs="Calibri"/>
          <w:b/>
        </w:rPr>
        <w:t>Argumentace stěžovatele</w:t>
      </w:r>
    </w:p>
    <w:p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</w:rPr>
        <w:t>Stěžovatel svojí argumentaci staví na tom, že v období mezi kontrolou a vyhotovením protokolu záznam z monitorování přestal ukládat a zpracovávat (prováděl pouze on-line pozorování), tudíž už neprovádí zpracování osobních údajů dle zákona č. 101/2000 Sb.</w:t>
      </w:r>
      <w:r w:rsidRPr="00B40488">
        <w:rPr>
          <w:rStyle w:val="Znakapoznpodarou"/>
          <w:rFonts w:cs="Calibri"/>
        </w:rPr>
        <w:footnoteReference w:id="6"/>
      </w:r>
      <w:r w:rsidRPr="00B40488">
        <w:rPr>
          <w:rFonts w:cs="Calibri"/>
        </w:rPr>
        <w:t xml:space="preserve"> a uložená opatření neberou ohled na aktuální stav. Zároveň se vůči soudu rozchází v interpretaci termínu </w:t>
      </w:r>
      <w:r w:rsidRPr="00B40488">
        <w:rPr>
          <w:rFonts w:cs="Calibri"/>
          <w:i/>
        </w:rPr>
        <w:t>„neprovádět monitorování veřejných prostor“</w:t>
      </w:r>
      <w:r w:rsidRPr="00B40488">
        <w:rPr>
          <w:rFonts w:cs="Calibri"/>
        </w:rPr>
        <w:t xml:space="preserve"> a tvrdí, že mu toto bylo uloženo nad rámec pravomocí žalovaného.  Na uložení povinnosti omezit a zastínit záběr kamer tak, aby nezabírala veřejná prostranství, opět uvádí, že záznam už v době zpracování protokolu nebyl ukládán a dále zpracováván. Tím samým také argumentuje na výtku ohledně splnění </w:t>
      </w:r>
      <w:r w:rsidRPr="00B40488">
        <w:rPr>
          <w:rFonts w:cs="Calibri"/>
        </w:rPr>
        <w:lastRenderedPageBreak/>
        <w:t>informační a oznamovací povinnosti u několika kamer podle § 16 a § 11</w:t>
      </w:r>
      <w:r w:rsidRPr="00B40488">
        <w:rPr>
          <w:rStyle w:val="Znakapoznpodarou"/>
          <w:rFonts w:cs="Calibri"/>
        </w:rPr>
        <w:footnoteReference w:id="7"/>
      </w:r>
      <w:r w:rsidRPr="00B40488">
        <w:rPr>
          <w:rFonts w:cs="Calibri"/>
        </w:rPr>
        <w:t>. Dle svého tvrzení v době, kdy záznam ještě ukládal, byli všichni dostatečně informováni pomocí informačních tabulí a písemně. Dalším bodem je sporný úsek vozovky, která je žalovaným označená jako veřejná, nicméně stěžovatel uvádí, že se jedná o pozemek v jeho vlastnictví.</w:t>
      </w:r>
    </w:p>
    <w:p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  <w:b/>
        </w:rPr>
        <w:t>Argumentace žalovaného</w:t>
      </w:r>
    </w:p>
    <w:p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</w:rPr>
        <w:t>Žalovaný se víceméně ztotožňuje se závěry uvedenými v rozsudku Městského soudu a nesouhlasí s argumenty stěžovatele. Hlavní výtkou je, že stěžovatel nepodal námitku proti protokolu, že již neprovádí zpracování osobních údajů. Zároveň, že na informačních cedulích byly uvedené neúplné údaje, které jsou upraveny v ustanovení § 11 odst. 1 a 2</w:t>
      </w:r>
      <w:r w:rsidRPr="00B40488">
        <w:rPr>
          <w:rStyle w:val="Znakapoznpodarou"/>
          <w:rFonts w:cs="Calibri"/>
        </w:rPr>
        <w:footnoteReference w:id="8"/>
      </w:r>
      <w:r w:rsidRPr="00B40488">
        <w:rPr>
          <w:rFonts w:cs="Calibri"/>
        </w:rPr>
        <w:t xml:space="preserve">. Co se týče termínu </w:t>
      </w:r>
      <w:r w:rsidRPr="00B40488">
        <w:rPr>
          <w:rFonts w:cs="Calibri"/>
          <w:i/>
        </w:rPr>
        <w:t>„neprovádět monitorování“</w:t>
      </w:r>
      <w:r w:rsidRPr="00B40488">
        <w:rPr>
          <w:rFonts w:cs="Calibri"/>
        </w:rPr>
        <w:t>, se žalovaný ztotožňuje s interpretací Městského soudu, že monitorování zahrnuje i ukládání záznamu z kamer. Ohledně sporného pozemku, žalovaný argumentuje tím, že i kdyby pozemek patřil stěžovateli, tak komunikace je užívaná jako přístupová cesta (veřejná komunikace) a proto nemohou důvody pro ochranu práv stěžovatele převážit nad právem na ochranu soukromí osob, které tuto cestu využívají.</w:t>
      </w:r>
    </w:p>
    <w:p w:rsidR="00D0188E" w:rsidRPr="00B40488" w:rsidRDefault="00D0188E" w:rsidP="00D0188E">
      <w:pPr>
        <w:spacing w:line="360" w:lineRule="auto"/>
        <w:jc w:val="both"/>
        <w:rPr>
          <w:rFonts w:cs="Calibri"/>
          <w:b/>
        </w:rPr>
      </w:pPr>
      <w:r w:rsidRPr="00B40488">
        <w:rPr>
          <w:rFonts w:cs="Calibri"/>
          <w:b/>
        </w:rPr>
        <w:t>Výsledek sporu</w:t>
      </w:r>
    </w:p>
    <w:p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</w:rPr>
        <w:t xml:space="preserve">Ačkoliv stěžovatel v argumentaci tvrdí, že záběry z kamer už nejsou ukládány a zpracovávány, není s to toto své tvrzení nějak podložit. Stěžovatel tuto námitku nepoužil, ani když měl možnost námitku sdělit při tvorbě protokolu, a ani v následné žalobě, poprvé ji uvedl v ústním jednání u Městského soudu. Soud je toho názoru, že zpracování osobních údajů dále trvalo minimálně v době podání žaloby a mohlo být ukončeno nejdříve v návaznosti na vznik protokolu. V případě pojmu </w:t>
      </w:r>
      <w:r w:rsidRPr="00B40488">
        <w:rPr>
          <w:rFonts w:cs="Calibri"/>
          <w:i/>
        </w:rPr>
        <w:t>„monitorování“</w:t>
      </w:r>
      <w:r w:rsidRPr="00B40488">
        <w:rPr>
          <w:rFonts w:cs="Calibri"/>
        </w:rPr>
        <w:t xml:space="preserve"> se Nejvyšší správní soud shoduje s interpretací Městského soudu v tom, že monitorování je zároveň i ukládání a zpracovávání údajů z kamery. V otázce sporné komunikace soud uvádí, že přestože pozemek je v osobním vlastnictví stěžovatele, povaha komunikace je veřejná a tudíž je třeba chránit především soukromí uživatelů komunikace. Co se týče informační povinnosti stanovené v ustanovení § 11</w:t>
      </w:r>
      <w:r w:rsidRPr="00B40488">
        <w:rPr>
          <w:rStyle w:val="Znakapoznpodarou"/>
          <w:rFonts w:cs="Calibri"/>
        </w:rPr>
        <w:footnoteReference w:id="9"/>
      </w:r>
      <w:r w:rsidRPr="00B40488">
        <w:rPr>
          <w:rFonts w:cs="Calibri"/>
        </w:rPr>
        <w:t>, pak tato byla dodržena jen z části, neboť některé povinné náležitosti stanovené v ustanovení § 11 odst. 1)</w:t>
      </w:r>
      <w:r w:rsidRPr="00B40488">
        <w:rPr>
          <w:rStyle w:val="Znakapoznpodarou"/>
          <w:rFonts w:cs="Calibri"/>
        </w:rPr>
        <w:footnoteReference w:id="10"/>
      </w:r>
      <w:r w:rsidRPr="00B40488">
        <w:rPr>
          <w:rFonts w:cs="Calibri"/>
        </w:rPr>
        <w:t xml:space="preserve"> zcela chyběly (např. způsob nakládání s osobními údaji, právo na přístup k osobním údajům atd.). Nejvyšší správní soud se víceméně ztotožnil s hodnocením a se závěry Městského soudu v napadeném rozsudku, a proto byla kasační stížnost shledána nedůvodnou a zamítnuta.</w:t>
      </w:r>
      <w:r w:rsidRPr="00B40488">
        <w:rPr>
          <w:rStyle w:val="Znakapoznpodarou"/>
          <w:rFonts w:cs="Calibri"/>
        </w:rPr>
        <w:footnoteReference w:id="11"/>
      </w:r>
    </w:p>
    <w:p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  <w:b/>
        </w:rPr>
        <w:lastRenderedPageBreak/>
        <w:t>Zdroje</w:t>
      </w:r>
    </w:p>
    <w:p w:rsidR="00D0188E" w:rsidRPr="00B40488" w:rsidRDefault="00D0188E" w:rsidP="00D0188E">
      <w:pPr>
        <w:pStyle w:val="Odstavecseseznamem"/>
        <w:numPr>
          <w:ilvl w:val="0"/>
          <w:numId w:val="11"/>
        </w:numPr>
        <w:spacing w:after="160" w:line="360" w:lineRule="auto"/>
        <w:rPr>
          <w:rFonts w:cs="Calibri"/>
          <w:color w:val="000000"/>
          <w:shd w:val="clear" w:color="auto" w:fill="FFFFFF"/>
        </w:rPr>
      </w:pPr>
      <w:r w:rsidRPr="00B40488">
        <w:rPr>
          <w:rFonts w:cs="Calibri"/>
          <w:i/>
          <w:iCs/>
          <w:color w:val="000000"/>
        </w:rPr>
        <w:t>Stanovisko č. 1/2006 - Provozování kamerového systému z hlediska zákona o ochraně osobních údajů</w:t>
      </w:r>
      <w:r w:rsidRPr="00B40488">
        <w:rPr>
          <w:rFonts w:cs="Calibri"/>
          <w:color w:val="000000"/>
          <w:shd w:val="clear" w:color="auto" w:fill="FFFFFF"/>
        </w:rPr>
        <w:t xml:space="preserve">. In: </w:t>
      </w:r>
      <w:r w:rsidRPr="00B40488">
        <w:rPr>
          <w:rFonts w:cs="Calibri"/>
          <w:i/>
          <w:color w:val="000000"/>
          <w:shd w:val="clear" w:color="auto" w:fill="FFFFFF"/>
        </w:rPr>
        <w:t>UOOU.cz</w:t>
      </w:r>
      <w:r w:rsidRPr="00B40488">
        <w:rPr>
          <w:rFonts w:cs="Calibri"/>
          <w:color w:val="000000"/>
          <w:shd w:val="clear" w:color="auto" w:fill="FFFFFF"/>
        </w:rPr>
        <w:t xml:space="preserve"> . Praha: Úřad pro ochranu osobních údajů, 2006. Dostupné také z: </w:t>
      </w:r>
      <w:hyperlink r:id="rId8" w:history="1">
        <w:r w:rsidRPr="00B40488">
          <w:rPr>
            <w:rStyle w:val="Hypertextovodkaz"/>
            <w:rFonts w:eastAsia="SimSun" w:cs="Calibri"/>
            <w:shd w:val="clear" w:color="auto" w:fill="FFFFFF"/>
          </w:rPr>
          <w:t>https://www.uoou.cz/files/stanovisko_2006_1.pdf</w:t>
        </w:r>
      </w:hyperlink>
      <w:r w:rsidRPr="00B40488">
        <w:rPr>
          <w:rFonts w:cs="Calibri"/>
          <w:color w:val="000000"/>
          <w:shd w:val="clear" w:color="auto" w:fill="FFFFFF"/>
        </w:rPr>
        <w:t xml:space="preserve"> </w:t>
      </w:r>
    </w:p>
    <w:p w:rsidR="00D0188E" w:rsidRPr="00B40488" w:rsidRDefault="00D0188E" w:rsidP="00D0188E">
      <w:pPr>
        <w:pStyle w:val="Odstavecseseznamem"/>
        <w:numPr>
          <w:ilvl w:val="0"/>
          <w:numId w:val="11"/>
        </w:numPr>
        <w:spacing w:after="160" w:line="360" w:lineRule="auto"/>
        <w:rPr>
          <w:rFonts w:cs="Calibri"/>
          <w:color w:val="000000"/>
          <w:shd w:val="clear" w:color="auto" w:fill="FFFFFF"/>
        </w:rPr>
      </w:pPr>
      <w:r w:rsidRPr="00B40488">
        <w:rPr>
          <w:rFonts w:cs="Calibri"/>
          <w:color w:val="000000"/>
          <w:shd w:val="clear" w:color="auto" w:fill="FFFFFF"/>
        </w:rPr>
        <w:t xml:space="preserve">Zákon č. 101/2000 Sb., o ochraně osobních údajů, ve znění účinném od 1. 1. 2011. In: </w:t>
      </w:r>
      <w:r w:rsidRPr="00B40488">
        <w:rPr>
          <w:rFonts w:cs="Calibri"/>
          <w:i/>
          <w:color w:val="000000"/>
          <w:shd w:val="clear" w:color="auto" w:fill="FFFFFF"/>
        </w:rPr>
        <w:t xml:space="preserve">ASPI </w:t>
      </w:r>
      <w:r w:rsidRPr="00B40488">
        <w:rPr>
          <w:rFonts w:cs="Calibri"/>
          <w:color w:val="000000"/>
          <w:shd w:val="clear" w:color="auto" w:fill="FFFFFF"/>
        </w:rPr>
        <w:t>[právní informační systém]. Praha: Wolters Kluwer ČR [vid. 2015-03-12].</w:t>
      </w:r>
    </w:p>
    <w:p w:rsidR="00D0188E" w:rsidRPr="00B40488" w:rsidRDefault="00D0188E" w:rsidP="00D0188E">
      <w:pPr>
        <w:pStyle w:val="Odstavecseseznamem"/>
        <w:numPr>
          <w:ilvl w:val="0"/>
          <w:numId w:val="11"/>
        </w:numPr>
        <w:spacing w:after="160" w:line="360" w:lineRule="auto"/>
        <w:rPr>
          <w:rFonts w:cs="Calibri"/>
          <w:color w:val="000000"/>
          <w:shd w:val="clear" w:color="auto" w:fill="FFFFFF"/>
        </w:rPr>
      </w:pPr>
      <w:r w:rsidRPr="00B40488">
        <w:rPr>
          <w:rFonts w:cs="Calibri"/>
          <w:color w:val="000000"/>
          <w:shd w:val="clear" w:color="auto" w:fill="FFFFFF"/>
        </w:rPr>
        <w:t xml:space="preserve">Zákon č. 150/2002 Sb., soudní řád správní, ve znění účinném od 1. 1. 2013. In: </w:t>
      </w:r>
      <w:r w:rsidRPr="00B40488">
        <w:rPr>
          <w:rFonts w:cs="Calibri"/>
          <w:i/>
          <w:color w:val="000000"/>
          <w:shd w:val="clear" w:color="auto" w:fill="FFFFFF"/>
        </w:rPr>
        <w:t xml:space="preserve">ASPI </w:t>
      </w:r>
      <w:r w:rsidRPr="00B40488">
        <w:rPr>
          <w:rFonts w:cs="Calibri"/>
          <w:color w:val="000000"/>
          <w:shd w:val="clear" w:color="auto" w:fill="FFFFFF"/>
        </w:rPr>
        <w:t>[právní informační systém]. Praha: Wolters Kluwer ČR [vid. 2015-03-12].</w:t>
      </w:r>
    </w:p>
    <w:p w:rsidR="00D0188E" w:rsidRPr="00B40488" w:rsidRDefault="00D0188E" w:rsidP="00D0188E">
      <w:pPr>
        <w:pStyle w:val="Odstavecseseznamem"/>
        <w:numPr>
          <w:ilvl w:val="0"/>
          <w:numId w:val="11"/>
        </w:numPr>
        <w:spacing w:after="160" w:line="360" w:lineRule="auto"/>
        <w:rPr>
          <w:rFonts w:cs="Calibri"/>
          <w:color w:val="000000"/>
          <w:shd w:val="clear" w:color="auto" w:fill="FFFFFF"/>
        </w:rPr>
      </w:pPr>
      <w:r w:rsidRPr="00B40488">
        <w:rPr>
          <w:rFonts w:cs="Calibri"/>
          <w:color w:val="000000"/>
          <w:shd w:val="clear" w:color="auto" w:fill="FFFFFF"/>
        </w:rPr>
        <w:t xml:space="preserve">Rozsudek Nejvyššího správního soudu ze dne 30. 7. 2014, sp. zn. </w:t>
      </w:r>
      <w:r w:rsidRPr="00B40488">
        <w:rPr>
          <w:rFonts w:cs="Calibri"/>
        </w:rPr>
        <w:t xml:space="preserve">3 As 124/2013 – 34. </w:t>
      </w:r>
      <w:r w:rsidRPr="00B40488">
        <w:rPr>
          <w:rFonts w:cs="Calibri"/>
          <w:color w:val="000000"/>
          <w:shd w:val="clear" w:color="auto" w:fill="FFFFFF"/>
        </w:rPr>
        <w:t xml:space="preserve">In: </w:t>
      </w:r>
      <w:r w:rsidRPr="00B40488">
        <w:rPr>
          <w:rFonts w:cs="Calibri"/>
          <w:i/>
          <w:color w:val="000000"/>
          <w:shd w:val="clear" w:color="auto" w:fill="FFFFFF"/>
        </w:rPr>
        <w:t xml:space="preserve">ASPI </w:t>
      </w:r>
      <w:r w:rsidRPr="00B40488">
        <w:rPr>
          <w:rFonts w:cs="Calibri"/>
          <w:color w:val="000000"/>
          <w:shd w:val="clear" w:color="auto" w:fill="FFFFFF"/>
        </w:rPr>
        <w:t>[právní informační systém]. Praha: Wolters Kluwer ČR [vid. 2015-03-12]. ASPI: JUD260574CZ.</w:t>
      </w:r>
    </w:p>
    <w:p w:rsidR="00D0188E" w:rsidRPr="00B40488" w:rsidRDefault="00D0188E" w:rsidP="00D018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188E" w:rsidRPr="00B40488" w:rsidRDefault="00D0188E" w:rsidP="00C02572">
      <w:pPr>
        <w:jc w:val="both"/>
        <w:rPr>
          <w:rFonts w:ascii="Cambria" w:hAnsi="Cambria" w:cs="Cambria"/>
        </w:rPr>
      </w:pPr>
    </w:p>
    <w:sectPr w:rsidR="00D0188E" w:rsidRPr="00B40488" w:rsidSect="0095349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16" w:rsidRDefault="00F51E16" w:rsidP="002027AC">
      <w:r>
        <w:separator/>
      </w:r>
    </w:p>
  </w:endnote>
  <w:endnote w:type="continuationSeparator" w:id="0">
    <w:p w:rsidR="00F51E16" w:rsidRDefault="00F51E16" w:rsidP="0020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B9" w:rsidRDefault="00E41FB9">
    <w:pPr>
      <w:pStyle w:val="Zpat"/>
      <w:jc w:val="center"/>
    </w:pPr>
  </w:p>
  <w:p w:rsidR="00E41FB9" w:rsidRDefault="00E41F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16" w:rsidRDefault="00F51E16" w:rsidP="002027AC">
      <w:r>
        <w:separator/>
      </w:r>
    </w:p>
  </w:footnote>
  <w:footnote w:type="continuationSeparator" w:id="0">
    <w:p w:rsidR="00F51E16" w:rsidRDefault="00F51E16" w:rsidP="002027AC">
      <w:r>
        <w:continuationSeparator/>
      </w:r>
    </w:p>
  </w:footnote>
  <w:footnote w:id="1">
    <w:p w:rsidR="00614B8D" w:rsidRPr="004C6706" w:rsidRDefault="00614B8D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Rozklad = opravný prostředek proti rozhodnutí instancí prvního stupně.</w:t>
      </w:r>
    </w:p>
  </w:footnote>
  <w:footnote w:id="2">
    <w:p w:rsidR="00614B8D" w:rsidRPr="004C6706" w:rsidRDefault="00614B8D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Tehdejší ministr vnitra: Jan Kubice</w:t>
      </w:r>
    </w:p>
  </w:footnote>
  <w:footnote w:id="3">
    <w:p w:rsidR="00D0188E" w:rsidRPr="004C6706" w:rsidRDefault="00D0188E" w:rsidP="00D0188E">
      <w:pPr>
        <w:spacing w:line="276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Zákon č. 101/2000 Sb., o ochraně osobních údajů, ve znění účinném od 1. 1. 2011. In: </w:t>
      </w:r>
      <w:r w:rsidRPr="004C6706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[právní informační systém]. Praha: Wolters Kluwer ČR [vid. 2015-03-12].</w:t>
      </w:r>
    </w:p>
  </w:footnote>
  <w:footnote w:id="4">
    <w:p w:rsidR="00D0188E" w:rsidRPr="004C6706" w:rsidRDefault="00D0188E" w:rsidP="00D0188E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tamtéž </w:t>
      </w:r>
    </w:p>
  </w:footnote>
  <w:footnote w:id="5">
    <w:p w:rsidR="00D0188E" w:rsidRPr="004C6706" w:rsidRDefault="00D0188E" w:rsidP="00D0188E">
      <w:pPr>
        <w:spacing w:line="276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Zákon č. 150/2002 Sb., soudní řád správní, ve znění účinném od 1. 1. 2013. In: </w:t>
      </w:r>
      <w:r w:rsidRPr="004C6706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[právní informační systém]. Praha: Wolters Kluwer ČR [vid. 2015-03-12].</w:t>
      </w:r>
    </w:p>
  </w:footnote>
  <w:footnote w:id="6">
    <w:p w:rsidR="00D0188E" w:rsidRPr="004C6706" w:rsidRDefault="00D0188E" w:rsidP="00D0188E">
      <w:pPr>
        <w:spacing w:line="276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Zákon č. 101/2000 Sb., o ochraně osobních údajů, ve znění účinném od 1. 1. 2011. In: </w:t>
      </w:r>
      <w:r w:rsidRPr="004C6706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[právní informační systém]. Praha: Wolters Kluwer ČR [vid. 2015-03-12].</w:t>
      </w:r>
    </w:p>
  </w:footnote>
  <w:footnote w:id="7">
    <w:p w:rsidR="00D0188E" w:rsidRPr="004C6706" w:rsidRDefault="00D0188E" w:rsidP="00D0188E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</w:t>
      </w:r>
      <w:r w:rsidRPr="004C6706">
        <w:rPr>
          <w:rFonts w:cs="Calibri"/>
          <w:color w:val="000000"/>
          <w:shd w:val="clear" w:color="auto" w:fill="FFFFFF"/>
        </w:rPr>
        <w:t xml:space="preserve">Zákon č. 101/2000 Sb., o ochraně osobních údajů, ve znění účinném od 1. 1. 2011. In: </w:t>
      </w:r>
      <w:r w:rsidRPr="004C6706">
        <w:rPr>
          <w:rFonts w:cs="Calibri"/>
          <w:i/>
          <w:color w:val="00000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hd w:val="clear" w:color="auto" w:fill="FFFFFF"/>
        </w:rPr>
        <w:t>[právní informační systém]. Praha: Wolters Kluwer ČR [vid. 2015-03-12].</w:t>
      </w:r>
    </w:p>
  </w:footnote>
  <w:footnote w:id="8">
    <w:p w:rsidR="00D0188E" w:rsidRPr="004C6706" w:rsidRDefault="00D0188E" w:rsidP="00D0188E">
      <w:pPr>
        <w:spacing w:line="276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tamtéž</w:t>
      </w:r>
    </w:p>
  </w:footnote>
  <w:footnote w:id="9">
    <w:p w:rsidR="00D0188E" w:rsidRPr="004C6706" w:rsidRDefault="00D0188E" w:rsidP="00D0188E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tamtéž</w:t>
      </w:r>
    </w:p>
  </w:footnote>
  <w:footnote w:id="10">
    <w:p w:rsidR="00D0188E" w:rsidRPr="004C6706" w:rsidRDefault="00D0188E" w:rsidP="00D0188E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tamtéž</w:t>
      </w:r>
    </w:p>
  </w:footnote>
  <w:footnote w:id="11">
    <w:p w:rsidR="00D0188E" w:rsidRPr="004C6706" w:rsidRDefault="00D0188E" w:rsidP="00D0188E">
      <w:pPr>
        <w:spacing w:line="360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Rozsudek Nejvyššího správního soudu ze dne 30. 7. 2014, sp. zn. </w:t>
      </w:r>
      <w:r w:rsidRPr="004C6706">
        <w:rPr>
          <w:rFonts w:cs="Calibri"/>
          <w:sz w:val="20"/>
          <w:szCs w:val="20"/>
        </w:rPr>
        <w:t xml:space="preserve">3 As 124/2013 – 34.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In: </w:t>
      </w:r>
      <w:r w:rsidRPr="004C6706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[právní informační systém]. Praha: Wolters Kluwer ČR [vid. 2015-03-12]. ASPI: JUD260574CZ.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BD7E26"/>
    <w:multiLevelType w:val="hybridMultilevel"/>
    <w:tmpl w:val="90B61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38722E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B84"/>
    <w:multiLevelType w:val="hybridMultilevel"/>
    <w:tmpl w:val="057CBEFE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610"/>
    <w:multiLevelType w:val="hybridMultilevel"/>
    <w:tmpl w:val="1248C04E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0452"/>
    <w:multiLevelType w:val="hybridMultilevel"/>
    <w:tmpl w:val="B6928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F0E24"/>
    <w:multiLevelType w:val="hybridMultilevel"/>
    <w:tmpl w:val="390CE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CB2"/>
    <w:multiLevelType w:val="hybridMultilevel"/>
    <w:tmpl w:val="2CA65A90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B0C51"/>
    <w:multiLevelType w:val="hybridMultilevel"/>
    <w:tmpl w:val="6F823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6F26"/>
    <w:multiLevelType w:val="hybridMultilevel"/>
    <w:tmpl w:val="8B826D56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72476985"/>
    <w:multiLevelType w:val="hybridMultilevel"/>
    <w:tmpl w:val="18667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171C29"/>
    <w:multiLevelType w:val="hybridMultilevel"/>
    <w:tmpl w:val="0030AF2C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AD2"/>
    <w:rsid w:val="0000192A"/>
    <w:rsid w:val="00015584"/>
    <w:rsid w:val="0004266B"/>
    <w:rsid w:val="00055C01"/>
    <w:rsid w:val="00085443"/>
    <w:rsid w:val="000C77CF"/>
    <w:rsid w:val="001110C2"/>
    <w:rsid w:val="00136FBC"/>
    <w:rsid w:val="00154AE8"/>
    <w:rsid w:val="00156DB6"/>
    <w:rsid w:val="001D6B7D"/>
    <w:rsid w:val="001F460D"/>
    <w:rsid w:val="002027AC"/>
    <w:rsid w:val="0020746B"/>
    <w:rsid w:val="002940E7"/>
    <w:rsid w:val="002A7FF3"/>
    <w:rsid w:val="002C3F8B"/>
    <w:rsid w:val="00303B00"/>
    <w:rsid w:val="00311AF8"/>
    <w:rsid w:val="00330948"/>
    <w:rsid w:val="00351B65"/>
    <w:rsid w:val="00365541"/>
    <w:rsid w:val="00373C15"/>
    <w:rsid w:val="003872C9"/>
    <w:rsid w:val="003C3A5E"/>
    <w:rsid w:val="003C6D35"/>
    <w:rsid w:val="003F461C"/>
    <w:rsid w:val="003F7614"/>
    <w:rsid w:val="00417CB1"/>
    <w:rsid w:val="00422942"/>
    <w:rsid w:val="00430EA4"/>
    <w:rsid w:val="00463DE8"/>
    <w:rsid w:val="004766D6"/>
    <w:rsid w:val="004832CC"/>
    <w:rsid w:val="004C6706"/>
    <w:rsid w:val="004E1A47"/>
    <w:rsid w:val="00513743"/>
    <w:rsid w:val="005407C9"/>
    <w:rsid w:val="005811A8"/>
    <w:rsid w:val="005A6148"/>
    <w:rsid w:val="005C6374"/>
    <w:rsid w:val="005D3891"/>
    <w:rsid w:val="00614B8D"/>
    <w:rsid w:val="00662F73"/>
    <w:rsid w:val="00672A43"/>
    <w:rsid w:val="007A6F1D"/>
    <w:rsid w:val="007B3A0D"/>
    <w:rsid w:val="007B3DBB"/>
    <w:rsid w:val="00814345"/>
    <w:rsid w:val="00886FDC"/>
    <w:rsid w:val="008B5C65"/>
    <w:rsid w:val="009043EB"/>
    <w:rsid w:val="00920AEB"/>
    <w:rsid w:val="009260C0"/>
    <w:rsid w:val="0094282D"/>
    <w:rsid w:val="0095349A"/>
    <w:rsid w:val="009B3645"/>
    <w:rsid w:val="00A47ABA"/>
    <w:rsid w:val="00A851C7"/>
    <w:rsid w:val="00B12C7C"/>
    <w:rsid w:val="00B25B7A"/>
    <w:rsid w:val="00B40488"/>
    <w:rsid w:val="00B61E54"/>
    <w:rsid w:val="00B83305"/>
    <w:rsid w:val="00BA7D2A"/>
    <w:rsid w:val="00C02572"/>
    <w:rsid w:val="00CA4AD2"/>
    <w:rsid w:val="00CB1D9B"/>
    <w:rsid w:val="00CE1603"/>
    <w:rsid w:val="00D00014"/>
    <w:rsid w:val="00D0188E"/>
    <w:rsid w:val="00DD1161"/>
    <w:rsid w:val="00E41FB9"/>
    <w:rsid w:val="00E71B0C"/>
    <w:rsid w:val="00E9256F"/>
    <w:rsid w:val="00EA18F0"/>
    <w:rsid w:val="00EB7C20"/>
    <w:rsid w:val="00EE6BD8"/>
    <w:rsid w:val="00F148FF"/>
    <w:rsid w:val="00F4707E"/>
    <w:rsid w:val="00F51DD6"/>
    <w:rsid w:val="00F51E16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DC1948-457A-48FA-BA09-FDAD658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572"/>
    <w:pPr>
      <w:spacing w:after="120" w:line="264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C02572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C02572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C0257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02572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02572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C02572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02572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02572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02572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2572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dpis4Char">
    <w:name w:val="Nadpis 4 Char"/>
    <w:link w:val="Nadpis4"/>
    <w:uiPriority w:val="9"/>
    <w:locked/>
    <w:rsid w:val="00C02572"/>
    <w:rPr>
      <w:rFonts w:ascii="Calibri Light" w:eastAsia="SimSun" w:hAnsi="Calibri Light" w:cs="Times New Roman"/>
      <w:sz w:val="24"/>
      <w:szCs w:val="24"/>
    </w:rPr>
  </w:style>
  <w:style w:type="character" w:customStyle="1" w:styleId="Nadpis5Char">
    <w:name w:val="Nadpis 5 Char"/>
    <w:link w:val="Nadpis5"/>
    <w:uiPriority w:val="9"/>
    <w:locked/>
    <w:rsid w:val="00C02572"/>
    <w:rPr>
      <w:rFonts w:ascii="Calibri Light" w:eastAsia="SimSun" w:hAnsi="Calibri Light" w:cs="Times New Roman"/>
      <w:i/>
      <w:iCs/>
      <w:sz w:val="22"/>
      <w:szCs w:val="22"/>
    </w:rPr>
  </w:style>
  <w:style w:type="paragraph" w:customStyle="1" w:styleId="Styl1">
    <w:name w:val="Styl1"/>
    <w:basedOn w:val="Nadpis4"/>
    <w:uiPriority w:val="99"/>
    <w:rsid w:val="007B3A0D"/>
    <w:pPr>
      <w:autoSpaceDE w:val="0"/>
      <w:autoSpaceDN w:val="0"/>
    </w:pPr>
    <w:rPr>
      <w:b/>
      <w:bCs/>
      <w:caps/>
    </w:rPr>
  </w:style>
  <w:style w:type="character" w:styleId="Siln">
    <w:name w:val="Strong"/>
    <w:uiPriority w:val="22"/>
    <w:qFormat/>
    <w:locked/>
    <w:rsid w:val="00C02572"/>
    <w:rPr>
      <w:b/>
      <w:bCs/>
    </w:rPr>
  </w:style>
  <w:style w:type="character" w:styleId="Hypertextovodkaz">
    <w:name w:val="Hyperlink"/>
    <w:uiPriority w:val="99"/>
    <w:rsid w:val="004E1A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043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2027A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2027AC"/>
    <w:rPr>
      <w:sz w:val="20"/>
      <w:szCs w:val="20"/>
    </w:rPr>
  </w:style>
  <w:style w:type="character" w:styleId="Znakapoznpodarou">
    <w:name w:val="footnote reference"/>
    <w:uiPriority w:val="99"/>
    <w:semiHidden/>
    <w:rsid w:val="002027AC"/>
    <w:rPr>
      <w:vertAlign w:val="superscript"/>
    </w:rPr>
  </w:style>
  <w:style w:type="paragraph" w:styleId="Zhlav">
    <w:name w:val="header"/>
    <w:basedOn w:val="Normln"/>
    <w:link w:val="ZhlavChar"/>
    <w:uiPriority w:val="99"/>
    <w:rsid w:val="0095349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5349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5349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5349A"/>
    <w:rPr>
      <w:sz w:val="24"/>
      <w:szCs w:val="24"/>
    </w:rPr>
  </w:style>
  <w:style w:type="paragraph" w:styleId="Zkladntext">
    <w:name w:val="Body Text"/>
    <w:basedOn w:val="Normln"/>
    <w:link w:val="ZkladntextChar"/>
    <w:uiPriority w:val="1"/>
    <w:rsid w:val="00EE6BD8"/>
    <w:pPr>
      <w:adjustRightInd w:val="0"/>
      <w:ind w:left="40"/>
    </w:pPr>
  </w:style>
  <w:style w:type="character" w:customStyle="1" w:styleId="ZkladntextChar">
    <w:name w:val="Základní text Char"/>
    <w:link w:val="Zkladntext"/>
    <w:uiPriority w:val="1"/>
    <w:rsid w:val="00EE6BD8"/>
    <w:rPr>
      <w:sz w:val="24"/>
      <w:szCs w:val="24"/>
    </w:rPr>
  </w:style>
  <w:style w:type="paragraph" w:styleId="Bezmezer">
    <w:name w:val="No Spacing"/>
    <w:uiPriority w:val="1"/>
    <w:qFormat/>
    <w:rsid w:val="00C02572"/>
    <w:rPr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C02572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NzevChar">
    <w:name w:val="Název Char"/>
    <w:link w:val="Nzev"/>
    <w:uiPriority w:val="10"/>
    <w:rsid w:val="00C02572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Nadpis2Char">
    <w:name w:val="Nadpis 2 Char"/>
    <w:link w:val="Nadpis2"/>
    <w:uiPriority w:val="9"/>
    <w:rsid w:val="00C02572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C02572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C02572"/>
    <w:rPr>
      <w:rFonts w:ascii="Calibri Light" w:eastAsia="SimSun" w:hAnsi="Calibri Light" w:cs="Times New Roman"/>
      <w:color w:val="595959"/>
    </w:rPr>
  </w:style>
  <w:style w:type="character" w:customStyle="1" w:styleId="Nadpis7Char">
    <w:name w:val="Nadpis 7 Char"/>
    <w:link w:val="Nadpis7"/>
    <w:uiPriority w:val="9"/>
    <w:semiHidden/>
    <w:rsid w:val="00C02572"/>
    <w:rPr>
      <w:rFonts w:ascii="Calibri Light" w:eastAsia="SimSun" w:hAnsi="Calibri Light" w:cs="Times New Roman"/>
      <w:i/>
      <w:iCs/>
      <w:color w:val="595959"/>
    </w:rPr>
  </w:style>
  <w:style w:type="character" w:customStyle="1" w:styleId="Nadpis8Char">
    <w:name w:val="Nadpis 8 Char"/>
    <w:link w:val="Nadpis8"/>
    <w:uiPriority w:val="9"/>
    <w:semiHidden/>
    <w:rsid w:val="00C02572"/>
    <w:rPr>
      <w:rFonts w:ascii="Calibri Light" w:eastAsia="SimSun" w:hAnsi="Calibri Light" w:cs="Times New Roman"/>
      <w:smallCaps/>
      <w:color w:val="595959"/>
    </w:rPr>
  </w:style>
  <w:style w:type="character" w:customStyle="1" w:styleId="Nadpis9Char">
    <w:name w:val="Nadpis 9 Char"/>
    <w:link w:val="Nadpis9"/>
    <w:uiPriority w:val="9"/>
    <w:semiHidden/>
    <w:rsid w:val="00C02572"/>
    <w:rPr>
      <w:rFonts w:ascii="Calibri Light" w:eastAsia="SimSun" w:hAnsi="Calibri Light" w:cs="Times New Roman"/>
      <w:i/>
      <w:iCs/>
      <w:smallCaps/>
      <w:color w:val="595959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C02572"/>
    <w:pPr>
      <w:spacing w:line="240" w:lineRule="auto"/>
    </w:pPr>
    <w:rPr>
      <w:b/>
      <w:bCs/>
      <w:color w:val="404040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C02572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titulChar">
    <w:name w:val="Podtitul Char"/>
    <w:link w:val="Podtitul"/>
    <w:uiPriority w:val="11"/>
    <w:rsid w:val="00C02572"/>
    <w:rPr>
      <w:rFonts w:ascii="Calibri Light" w:eastAsia="SimSun" w:hAnsi="Calibri Light" w:cs="Times New Roman"/>
      <w:color w:val="404040"/>
      <w:sz w:val="30"/>
      <w:szCs w:val="30"/>
    </w:rPr>
  </w:style>
  <w:style w:type="character" w:styleId="Zdraznn">
    <w:name w:val="Emphasis"/>
    <w:uiPriority w:val="20"/>
    <w:qFormat/>
    <w:locked/>
    <w:rsid w:val="00C02572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C0257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C0257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2572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C02572"/>
    <w:rPr>
      <w:rFonts w:ascii="Calibri Light" w:eastAsia="SimSun" w:hAnsi="Calibri Light" w:cs="Times New Roman"/>
      <w:color w:val="5B9BD5"/>
      <w:sz w:val="28"/>
      <w:szCs w:val="28"/>
    </w:rPr>
  </w:style>
  <w:style w:type="character" w:styleId="Zdraznnjemn">
    <w:name w:val="Subtle Emphasis"/>
    <w:uiPriority w:val="19"/>
    <w:qFormat/>
    <w:rsid w:val="00C02572"/>
    <w:rPr>
      <w:i/>
      <w:iCs/>
      <w:color w:val="595959"/>
    </w:rPr>
  </w:style>
  <w:style w:type="character" w:styleId="Zdraznnintenzivn">
    <w:name w:val="Intense Emphasis"/>
    <w:uiPriority w:val="21"/>
    <w:qFormat/>
    <w:rsid w:val="00C02572"/>
    <w:rPr>
      <w:b/>
      <w:bCs/>
      <w:i/>
      <w:iCs/>
    </w:rPr>
  </w:style>
  <w:style w:type="character" w:styleId="Odkazjemn">
    <w:name w:val="Subtle Reference"/>
    <w:uiPriority w:val="31"/>
    <w:qFormat/>
    <w:rsid w:val="00C02572"/>
    <w:rPr>
      <w:smallCaps/>
      <w:color w:val="404040"/>
    </w:rPr>
  </w:style>
  <w:style w:type="character" w:styleId="Odkazintenzivn">
    <w:name w:val="Intense Reference"/>
    <w:uiPriority w:val="32"/>
    <w:qFormat/>
    <w:rsid w:val="00C02572"/>
    <w:rPr>
      <w:b/>
      <w:bCs/>
      <w:smallCaps/>
      <w:u w:val="single"/>
    </w:rPr>
  </w:style>
  <w:style w:type="character" w:styleId="Nzevknihy">
    <w:name w:val="Book Title"/>
    <w:uiPriority w:val="33"/>
    <w:qFormat/>
    <w:rsid w:val="00C0257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2572"/>
    <w:pPr>
      <w:outlineLvl w:val="9"/>
    </w:pPr>
  </w:style>
  <w:style w:type="paragraph" w:customStyle="1" w:styleId="Default">
    <w:name w:val="Default"/>
    <w:rsid w:val="00614B8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files/stanovisko_2006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EC14-21A5-4CE5-9787-8DAC6442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1462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>FFMU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selen</dc:creator>
  <cp:keywords/>
  <dc:description/>
  <cp:lastModifiedBy>Pavla Kovářová</cp:lastModifiedBy>
  <cp:revision>21</cp:revision>
  <dcterms:created xsi:type="dcterms:W3CDTF">2015-04-15T17:24:00Z</dcterms:created>
  <dcterms:modified xsi:type="dcterms:W3CDTF">2017-02-22T10:22:00Z</dcterms:modified>
</cp:coreProperties>
</file>