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C63" w:rsidRPr="00354C63" w:rsidRDefault="00354C63" w:rsidP="00354C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</w:pPr>
      <w:proofErr w:type="spellStart"/>
      <w:r w:rsidRPr="00354C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t>Bête</w:t>
      </w:r>
      <w:proofErr w:type="spellEnd"/>
      <w:r w:rsidRPr="00354C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t xml:space="preserve"> de </w:t>
      </w:r>
      <w:proofErr w:type="spellStart"/>
      <w:r w:rsidRPr="00354C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t>cirque</w:t>
      </w:r>
      <w:proofErr w:type="spellEnd"/>
      <w:r w:rsidRPr="00354C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t xml:space="preserve"> </w:t>
      </w:r>
      <w:r w:rsidRPr="00354C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br/>
        <w:t xml:space="preserve">Sarajevo (1995-2010) </w:t>
      </w:r>
    </w:p>
    <w:p w:rsidR="00354C63" w:rsidRPr="00354C63" w:rsidRDefault="00354C63" w:rsidP="00354C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</w:pPr>
      <w:hyperlink r:id="rId4" w:tooltip="Voir la fiche auteur de Tiphaine Samoyault" w:history="1">
        <w:proofErr w:type="spellStart"/>
        <w:r w:rsidRPr="00354C6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cs-CZ" w:eastAsia="cs-CZ"/>
          </w:rPr>
          <w:t>Tiphaine</w:t>
        </w:r>
        <w:proofErr w:type="spellEnd"/>
        <w:r w:rsidRPr="00354C6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cs-CZ" w:eastAsia="cs-CZ"/>
          </w:rPr>
          <w:t xml:space="preserve"> </w:t>
        </w:r>
        <w:proofErr w:type="spellStart"/>
        <w:r w:rsidRPr="00354C6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cs-CZ" w:eastAsia="cs-CZ"/>
          </w:rPr>
          <w:t>Samoyault</w:t>
        </w:r>
        <w:proofErr w:type="spellEnd"/>
      </w:hyperlink>
    </w:p>
    <w:p w:rsidR="00354C63" w:rsidRPr="00354C63" w:rsidRDefault="00354C63" w:rsidP="00354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De la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bête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cirque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elle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offre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spectacle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et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elle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ressent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la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honte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qui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est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au fond des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yeux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: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spectacle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 ses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engagements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frénétiques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de son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agitation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vaine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et de ses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expériences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ratées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qui font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d’elle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objet de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suspicion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de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curiosité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ou de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rejet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;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honte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d’appartenir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à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une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génération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qui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n’est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entrée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dans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l’histoire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que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par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effraction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sans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jamais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parvenir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à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trouver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place.</w:t>
      </w:r>
    </w:p>
    <w:p w:rsidR="00354C63" w:rsidRPr="00354C63" w:rsidRDefault="00354C63" w:rsidP="00354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récit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commence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en 1995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dans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Sarajevo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assiégée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En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décembre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2010,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après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quinze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ans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d’absence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la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narratrice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revient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pour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la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première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fois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dans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la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capitale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bosniaque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retour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est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l’occasion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pour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elle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réfléchir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aux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raisons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 son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implication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dans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cette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guerre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à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celles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 son absence, à ses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élans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et ses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retraits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354C63" w:rsidRPr="00354C63" w:rsidRDefault="00354C63" w:rsidP="00354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Dans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livre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lucide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et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poignant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l’auteur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trace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obstinément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la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vérité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à la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fois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intime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et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politique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de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l’expérience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 </w:t>
      </w:r>
      <w:proofErr w:type="spellStart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l’engagement</w:t>
      </w:r>
      <w:proofErr w:type="spellEnd"/>
      <w:r w:rsidRPr="00354C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4C7A0C" w:rsidRDefault="004C7A0C">
      <w:bookmarkStart w:id="0" w:name="_GoBack"/>
      <w:bookmarkEnd w:id="0"/>
    </w:p>
    <w:sectPr w:rsidR="004C7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63"/>
    <w:rsid w:val="00354C63"/>
    <w:rsid w:val="004C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12E8F-DC9F-4359-8844-DA7363C9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fr-CA"/>
    </w:rPr>
  </w:style>
  <w:style w:type="paragraph" w:styleId="Nadpis1">
    <w:name w:val="heading 1"/>
    <w:basedOn w:val="Normln"/>
    <w:link w:val="Nadpis1Char"/>
    <w:uiPriority w:val="9"/>
    <w:qFormat/>
    <w:rsid w:val="00354C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adpis2">
    <w:name w:val="heading 2"/>
    <w:basedOn w:val="Normln"/>
    <w:link w:val="Nadpis2Char"/>
    <w:uiPriority w:val="9"/>
    <w:qFormat/>
    <w:rsid w:val="00354C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C6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54C6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54C6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54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3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2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19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8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17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uil.com/auteur/tiphaine-samoyault/562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Doležalová</dc:creator>
  <cp:keywords/>
  <dc:description/>
  <cp:lastModifiedBy>Pavla Doležalová</cp:lastModifiedBy>
  <cp:revision>1</cp:revision>
  <dcterms:created xsi:type="dcterms:W3CDTF">2018-03-05T11:44:00Z</dcterms:created>
  <dcterms:modified xsi:type="dcterms:W3CDTF">2018-03-05T11:44:00Z</dcterms:modified>
</cp:coreProperties>
</file>