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9D" w:rsidRDefault="009D6C9D" w:rsidP="009D6C9D">
      <w:pPr>
        <w:rPr>
          <w:sz w:val="24"/>
          <w:szCs w:val="24"/>
        </w:rPr>
      </w:pPr>
      <w:r>
        <w:rPr>
          <w:sz w:val="24"/>
          <w:szCs w:val="24"/>
        </w:rPr>
        <w:t>Počátek Výmarské republiky</w:t>
      </w:r>
    </w:p>
    <w:p w:rsidR="009D6C9D" w:rsidRDefault="009D6C9D" w:rsidP="009D6C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Skopos</w:t>
      </w:r>
      <w:proofErr w:type="spellEnd"/>
      <w:r>
        <w:rPr>
          <w:sz w:val="24"/>
          <w:szCs w:val="24"/>
        </w:rPr>
        <w:t xml:space="preserve"> textu: článek historické povahy o politických dějinách Německa</w:t>
      </w:r>
    </w:p>
    <w:p w:rsidR="009D6C9D" w:rsidRDefault="009D6C9D" w:rsidP="009D6C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Existovala kontinuita mezi císařstvím a Výmarskou republikou, která se utvořila po svržení monarchie v listopadu 1918 a která vzešla z voleb do národního shromáždění v lednu 1919.</w:t>
      </w:r>
    </w:p>
    <w:p w:rsidR="009D6C9D" w:rsidRDefault="009D6C9D" w:rsidP="009D6C9D">
      <w:pPr>
        <w:pStyle w:val="Odstavecseseznamem"/>
        <w:rPr>
          <w:sz w:val="24"/>
          <w:szCs w:val="24"/>
        </w:rPr>
      </w:pPr>
    </w:p>
    <w:p w:rsidR="009D6C9D" w:rsidRDefault="009D6C9D" w:rsidP="009D6C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jistém smyslu ještě dokonce přežívala instituce císaře: úřad říšského prezidenta, který byl volen lidem, měl tak silné kompetence, že tehdejší lidé hovořili o „náhradě císaře“ nebo o „náhradním císaři“.</w:t>
      </w:r>
    </w:p>
    <w:p w:rsidR="009D6C9D" w:rsidRPr="009D6C9D" w:rsidRDefault="009D6C9D" w:rsidP="009D6C9D">
      <w:pPr>
        <w:pStyle w:val="Odstavecseseznamem"/>
        <w:rPr>
          <w:sz w:val="24"/>
          <w:szCs w:val="24"/>
        </w:rPr>
      </w:pPr>
    </w:p>
    <w:p w:rsidR="009D6C9D" w:rsidRDefault="009D6C9D" w:rsidP="009D6C9D">
      <w:pPr>
        <w:pStyle w:val="Odstavecseseznamem"/>
        <w:rPr>
          <w:sz w:val="24"/>
          <w:szCs w:val="24"/>
        </w:rPr>
      </w:pPr>
    </w:p>
    <w:p w:rsidR="009D6C9D" w:rsidRDefault="009D6C9D" w:rsidP="009D6C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Také z morálního hlediska to bylo pokračování císařství.</w:t>
      </w:r>
    </w:p>
    <w:p w:rsidR="009D6C9D" w:rsidRDefault="009D6C9D" w:rsidP="009D6C9D">
      <w:pPr>
        <w:pStyle w:val="Odstavecseseznamem"/>
        <w:rPr>
          <w:sz w:val="24"/>
          <w:szCs w:val="24"/>
        </w:rPr>
      </w:pPr>
    </w:p>
    <w:p w:rsidR="009D6C9D" w:rsidRDefault="009D6C9D" w:rsidP="009D6C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Nebyla žádná vážná debata o otázce válečné viny.</w:t>
      </w:r>
    </w:p>
    <w:p w:rsidR="009D6C9D" w:rsidRPr="009D6C9D" w:rsidRDefault="009D6C9D" w:rsidP="009D6C9D">
      <w:pPr>
        <w:pStyle w:val="Odstavecseseznamem"/>
        <w:rPr>
          <w:sz w:val="24"/>
          <w:szCs w:val="24"/>
        </w:rPr>
      </w:pPr>
    </w:p>
    <w:p w:rsidR="009D6C9D" w:rsidRDefault="009D6C9D" w:rsidP="009D6C9D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9D6C9D" w:rsidRDefault="009D6C9D" w:rsidP="009D6C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Bylo ale jasné, že vedení říše svým postojem po zavraždění rakousko-uherského následníka trůnu 28. června 1914 v Sarajevu vědomě vyostřilo mezinárodní situaci a neslo tak (tím) odpovědnost za vypuknutí 1. světové války.</w:t>
      </w:r>
    </w:p>
    <w:p w:rsidR="00C13B63" w:rsidRDefault="00C13B63"/>
    <w:sectPr w:rsidR="00C1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A87"/>
    <w:multiLevelType w:val="hybridMultilevel"/>
    <w:tmpl w:val="628E6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9D"/>
    <w:rsid w:val="009D6C9D"/>
    <w:rsid w:val="00C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Stanovská</dc:creator>
  <cp:lastModifiedBy>Sylvie Stanovská</cp:lastModifiedBy>
  <cp:revision>1</cp:revision>
  <dcterms:created xsi:type="dcterms:W3CDTF">2018-04-24T08:07:00Z</dcterms:created>
  <dcterms:modified xsi:type="dcterms:W3CDTF">2018-04-24T08:08:00Z</dcterms:modified>
</cp:coreProperties>
</file>