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A17" w:rsidRDefault="00425A17" w:rsidP="00425A17">
      <w:pPr>
        <w:pStyle w:val="Nadpis5"/>
        <w:spacing w:before="0"/>
        <w:textAlignment w:val="baseline"/>
        <w:rPr>
          <w:rStyle w:val="Siln"/>
          <w:rFonts w:ascii="Arial" w:hAnsi="Arial" w:cs="Arial"/>
          <w:b w:val="0"/>
          <w:bCs w:val="0"/>
          <w:color w:val="000000"/>
          <w:sz w:val="16"/>
          <w:szCs w:val="16"/>
          <w:bdr w:val="none" w:sz="0" w:space="0" w:color="auto" w:frame="1"/>
        </w:rPr>
      </w:pPr>
    </w:p>
    <w:p w:rsidR="00425A17" w:rsidRDefault="00425A17" w:rsidP="00425A17">
      <w:pPr>
        <w:pStyle w:val="Nadpis5"/>
        <w:spacing w:before="0"/>
        <w:textAlignment w:val="baseline"/>
        <w:rPr>
          <w:rStyle w:val="Siln"/>
          <w:rFonts w:ascii="Arial" w:hAnsi="Arial" w:cs="Arial"/>
          <w:b w:val="0"/>
          <w:bCs w:val="0"/>
          <w:color w:val="000000"/>
          <w:sz w:val="16"/>
          <w:szCs w:val="16"/>
          <w:bdr w:val="none" w:sz="0" w:space="0" w:color="auto" w:frame="1"/>
        </w:rPr>
      </w:pPr>
    </w:p>
    <w:p w:rsidR="00425A17" w:rsidRDefault="00425A17" w:rsidP="00425A17">
      <w:pPr>
        <w:pStyle w:val="Nadpis5"/>
        <w:spacing w:before="0"/>
        <w:textAlignment w:val="baseline"/>
        <w:rPr>
          <w:rStyle w:val="Siln"/>
          <w:rFonts w:ascii="Arial" w:hAnsi="Arial" w:cs="Arial"/>
          <w:b w:val="0"/>
          <w:bCs w:val="0"/>
          <w:color w:val="000000"/>
          <w:sz w:val="16"/>
          <w:szCs w:val="16"/>
          <w:bdr w:val="none" w:sz="0" w:space="0" w:color="auto" w:frame="1"/>
        </w:rPr>
      </w:pPr>
    </w:p>
    <w:p w:rsidR="00425A17" w:rsidRDefault="00425A17" w:rsidP="00425A17">
      <w:pPr>
        <w:pStyle w:val="Nadpis5"/>
        <w:spacing w:before="0"/>
        <w:textAlignment w:val="baseline"/>
        <w:rPr>
          <w:rStyle w:val="Siln"/>
          <w:rFonts w:ascii="Arial" w:hAnsi="Arial" w:cs="Arial"/>
          <w:b w:val="0"/>
          <w:bCs w:val="0"/>
          <w:color w:val="000000"/>
          <w:sz w:val="16"/>
          <w:szCs w:val="16"/>
          <w:bdr w:val="none" w:sz="0" w:space="0" w:color="auto" w:frame="1"/>
        </w:rPr>
      </w:pPr>
    </w:p>
    <w:p w:rsidR="00425A17" w:rsidRDefault="00425A17" w:rsidP="00425A17">
      <w:pPr>
        <w:pStyle w:val="Nadpis5"/>
        <w:spacing w:before="0"/>
        <w:textAlignment w:val="baseline"/>
        <w:rPr>
          <w:rStyle w:val="Siln"/>
          <w:rFonts w:ascii="Arial" w:hAnsi="Arial" w:cs="Arial"/>
          <w:b w:val="0"/>
          <w:bCs w:val="0"/>
          <w:color w:val="000000"/>
          <w:sz w:val="16"/>
          <w:szCs w:val="16"/>
          <w:bdr w:val="none" w:sz="0" w:space="0" w:color="auto" w:frame="1"/>
        </w:rPr>
      </w:pPr>
    </w:p>
    <w:p w:rsidR="00425A17" w:rsidRDefault="00425A17" w:rsidP="00425A17">
      <w:pPr>
        <w:pStyle w:val="Nadpis5"/>
        <w:spacing w:before="0"/>
        <w:textAlignment w:val="baseline"/>
        <w:rPr>
          <w:rStyle w:val="Siln"/>
          <w:rFonts w:ascii="Arial" w:hAnsi="Arial" w:cs="Arial"/>
          <w:b w:val="0"/>
          <w:bCs w:val="0"/>
          <w:color w:val="000000"/>
          <w:sz w:val="16"/>
          <w:szCs w:val="16"/>
          <w:bdr w:val="none" w:sz="0" w:space="0" w:color="auto" w:frame="1"/>
        </w:rPr>
      </w:pPr>
    </w:p>
    <w:p w:rsidR="00425A17" w:rsidRDefault="00425A17" w:rsidP="00425A17">
      <w:pPr>
        <w:pStyle w:val="Nadpis5"/>
        <w:spacing w:before="0"/>
        <w:textAlignment w:val="baseline"/>
        <w:rPr>
          <w:rStyle w:val="Siln"/>
          <w:rFonts w:ascii="Arial" w:hAnsi="Arial" w:cs="Arial"/>
          <w:b w:val="0"/>
          <w:bCs w:val="0"/>
          <w:color w:val="000000"/>
          <w:sz w:val="16"/>
          <w:szCs w:val="16"/>
          <w:bdr w:val="none" w:sz="0" w:space="0" w:color="auto" w:frame="1"/>
        </w:rPr>
      </w:pPr>
    </w:p>
    <w:p w:rsidR="00425A17" w:rsidRDefault="00425A17" w:rsidP="00425A17">
      <w:pPr>
        <w:pStyle w:val="Nadpis5"/>
        <w:spacing w:before="0"/>
        <w:textAlignment w:val="baseline"/>
        <w:rPr>
          <w:rFonts w:ascii="Arial" w:hAnsi="Arial" w:cs="Arial"/>
          <w:color w:val="000000"/>
          <w:sz w:val="16"/>
          <w:szCs w:val="16"/>
        </w:rPr>
      </w:pPr>
      <w:r>
        <w:rPr>
          <w:rStyle w:val="Siln"/>
          <w:rFonts w:ascii="Arial" w:hAnsi="Arial" w:cs="Arial"/>
          <w:b w:val="0"/>
          <w:bCs w:val="0"/>
          <w:color w:val="000000"/>
          <w:sz w:val="16"/>
          <w:szCs w:val="16"/>
          <w:bdr w:val="none" w:sz="0" w:space="0" w:color="auto" w:frame="1"/>
        </w:rPr>
        <w:t>Novela školského zákona garantuje s účinností od 1. září 2016 právo dětí na tzv. podpůrná opatření. Tato opatření pomohou překonávat jejich znevýhodnění - ať už se jedná o děti a žáky ze sociálně znevýhodněného a kulturně odlišného prostředí, děti a žáky zdravotně postižené a znevýhodněné nebo žáky (mimořádně) nadané.</w:t>
      </w:r>
    </w:p>
    <w:p w:rsidR="00425A17" w:rsidRDefault="00425A17" w:rsidP="00425A17">
      <w:pPr>
        <w:pStyle w:val="Normlnweb"/>
        <w:spacing w:before="0" w:beforeAutospacing="0" w:after="0" w:afterAutospacing="0"/>
        <w:textAlignment w:val="baseline"/>
        <w:rPr>
          <w:rFonts w:ascii="Verdana" w:hAnsi="Verdana"/>
          <w:color w:val="000000"/>
          <w:sz w:val="15"/>
          <w:szCs w:val="15"/>
        </w:rPr>
      </w:pPr>
      <w:hyperlink r:id="rId5" w:tooltip="Charakter podpory – I. stupeň podpůrných opatření" w:history="1">
        <w:r>
          <w:rPr>
            <w:rStyle w:val="Hypertextovodkaz"/>
            <w:rFonts w:ascii="Verdana" w:hAnsi="Verdana"/>
            <w:color w:val="00638E"/>
            <w:sz w:val="19"/>
            <w:szCs w:val="19"/>
            <w:bdr w:val="none" w:sz="0" w:space="0" w:color="auto" w:frame="1"/>
          </w:rPr>
          <w:t>Charakter podpory – I. stupeň podpůrných opatření</w:t>
        </w:r>
      </w:hyperlink>
      <w:r>
        <w:rPr>
          <w:rStyle w:val="apple-converted-space"/>
          <w:rFonts w:ascii="Verdana" w:hAnsi="Verdana"/>
          <w:color w:val="000000"/>
          <w:sz w:val="15"/>
          <w:szCs w:val="15"/>
        </w:rPr>
        <w:t> </w:t>
      </w:r>
      <w:r>
        <w:rPr>
          <w:rStyle w:val="Zvraznn"/>
          <w:rFonts w:ascii="Verdana" w:eastAsiaTheme="majorEastAsia" w:hAnsi="Verdana"/>
          <w:color w:val="000000"/>
          <w:sz w:val="19"/>
          <w:szCs w:val="19"/>
          <w:bdr w:val="none" w:sz="0" w:space="0" w:color="auto" w:frame="1"/>
        </w:rPr>
        <w:t>(leden 2017)</w:t>
      </w:r>
      <w:r>
        <w:rPr>
          <w:rFonts w:ascii="Verdana" w:hAnsi="Verdana"/>
          <w:color w:val="000000"/>
          <w:sz w:val="15"/>
          <w:szCs w:val="15"/>
        </w:rPr>
        <w:br/>
      </w:r>
      <w:hyperlink r:id="rId6" w:tooltip="Členění činností a poskytovaných školských poradenských služeb mezi PPP a SPC" w:history="1">
        <w:r>
          <w:rPr>
            <w:rStyle w:val="Hypertextovodkaz"/>
            <w:rFonts w:ascii="Verdana" w:hAnsi="Verdana"/>
            <w:color w:val="00638E"/>
            <w:sz w:val="19"/>
            <w:szCs w:val="19"/>
            <w:bdr w:val="none" w:sz="0" w:space="0" w:color="auto" w:frame="1"/>
          </w:rPr>
          <w:t>Členění činností a poskytovaných školských poradenských služeb mezi PPP a SPC</w:t>
        </w:r>
      </w:hyperlink>
      <w:r>
        <w:rPr>
          <w:rStyle w:val="apple-converted-space"/>
          <w:rFonts w:ascii="Verdana" w:hAnsi="Verdana"/>
          <w:color w:val="000000"/>
          <w:sz w:val="15"/>
          <w:szCs w:val="15"/>
        </w:rPr>
        <w:t> </w:t>
      </w:r>
      <w:r>
        <w:rPr>
          <w:rStyle w:val="Zvraznn"/>
          <w:rFonts w:ascii="Verdana" w:eastAsiaTheme="majorEastAsia" w:hAnsi="Verdana"/>
          <w:color w:val="000000"/>
          <w:sz w:val="19"/>
          <w:szCs w:val="19"/>
          <w:bdr w:val="none" w:sz="0" w:space="0" w:color="auto" w:frame="1"/>
        </w:rPr>
        <w:t>(leden 2017)</w:t>
      </w:r>
      <w:r>
        <w:rPr>
          <w:rFonts w:ascii="Verdana" w:hAnsi="Verdana"/>
          <w:color w:val="000000"/>
          <w:sz w:val="15"/>
          <w:szCs w:val="15"/>
        </w:rPr>
        <w:br/>
      </w:r>
      <w:hyperlink r:id="rId7" w:tooltip="[Odkaz do nového okna] " w:history="1">
        <w:r>
          <w:rPr>
            <w:rStyle w:val="Hypertextovodkaz"/>
            <w:rFonts w:ascii="Verdana" w:hAnsi="Verdana"/>
            <w:color w:val="00638E"/>
            <w:sz w:val="19"/>
            <w:szCs w:val="19"/>
            <w:bdr w:val="none" w:sz="0" w:space="0" w:color="auto" w:frame="1"/>
          </w:rPr>
          <w:t>Postup školy v případě účasti žáka se speciálními vzdělávacími potřebami na škole v přírodě</w:t>
        </w:r>
      </w:hyperlink>
      <w:r>
        <w:rPr>
          <w:rStyle w:val="apple-converted-space"/>
          <w:rFonts w:ascii="Verdana" w:hAnsi="Verdana"/>
          <w:color w:val="000000"/>
          <w:sz w:val="15"/>
          <w:szCs w:val="15"/>
        </w:rPr>
        <w:t> </w:t>
      </w:r>
      <w:r>
        <w:rPr>
          <w:rStyle w:val="Zvraznn"/>
          <w:rFonts w:ascii="Verdana" w:eastAsiaTheme="majorEastAsia" w:hAnsi="Verdana"/>
          <w:color w:val="000000"/>
          <w:sz w:val="19"/>
          <w:szCs w:val="19"/>
          <w:bdr w:val="none" w:sz="0" w:space="0" w:color="auto" w:frame="1"/>
        </w:rPr>
        <w:t>(leden 2017)</w:t>
      </w:r>
      <w:r>
        <w:rPr>
          <w:rFonts w:ascii="Verdana" w:hAnsi="Verdana"/>
          <w:color w:val="000000"/>
          <w:sz w:val="15"/>
          <w:szCs w:val="15"/>
        </w:rPr>
        <w:br/>
      </w:r>
      <w:hyperlink r:id="rId8" w:tooltip="Příplatky k normativu na dítě, žáka, studenta ve třídě, oddělení nebo studijní skupině" w:history="1">
        <w:r>
          <w:rPr>
            <w:rStyle w:val="Hypertextovodkaz"/>
            <w:rFonts w:ascii="Verdana" w:hAnsi="Verdana"/>
            <w:color w:val="00638E"/>
            <w:sz w:val="19"/>
            <w:szCs w:val="19"/>
            <w:bdr w:val="none" w:sz="0" w:space="0" w:color="auto" w:frame="1"/>
          </w:rPr>
          <w:t>Příplatky k normativu na dítě, žáka, studenta ve třídě, oddělení nebo studijní skupině</w:t>
        </w:r>
      </w:hyperlink>
      <w:r>
        <w:rPr>
          <w:rFonts w:ascii="Verdana" w:hAnsi="Verdana"/>
          <w:color w:val="000000"/>
          <w:sz w:val="15"/>
          <w:szCs w:val="15"/>
          <w:bdr w:val="none" w:sz="0" w:space="0" w:color="auto" w:frame="1"/>
        </w:rPr>
        <w:t> </w:t>
      </w:r>
      <w:r>
        <w:rPr>
          <w:rStyle w:val="Zvraznn"/>
          <w:rFonts w:ascii="Verdana" w:eastAsiaTheme="majorEastAsia" w:hAnsi="Verdana"/>
          <w:color w:val="000000"/>
          <w:sz w:val="19"/>
          <w:szCs w:val="19"/>
          <w:bdr w:val="none" w:sz="0" w:space="0" w:color="auto" w:frame="1"/>
        </w:rPr>
        <w:t>(prosinec 2016)</w:t>
      </w:r>
    </w:p>
    <w:p w:rsidR="00425A17" w:rsidRDefault="00425A17" w:rsidP="00425A17">
      <w:pPr>
        <w:pStyle w:val="Normlnweb"/>
        <w:spacing w:before="0" w:beforeAutospacing="0" w:after="0" w:afterAutospacing="0"/>
        <w:textAlignment w:val="baseline"/>
        <w:rPr>
          <w:rFonts w:ascii="Verdana" w:hAnsi="Verdana"/>
          <w:color w:val="000000"/>
          <w:sz w:val="15"/>
          <w:szCs w:val="15"/>
        </w:rPr>
      </w:pPr>
      <w:r>
        <w:rPr>
          <w:rStyle w:val="Zvraznn"/>
          <w:rFonts w:ascii="Verdana" w:eastAsiaTheme="majorEastAsia" w:hAnsi="Verdana"/>
          <w:color w:val="000000"/>
          <w:sz w:val="15"/>
          <w:szCs w:val="15"/>
          <w:bdr w:val="none" w:sz="0" w:space="0" w:color="auto" w:frame="1"/>
        </w:rPr>
        <w:t> </w:t>
      </w:r>
    </w:p>
    <w:p w:rsidR="00425A17" w:rsidRPr="00425A17" w:rsidRDefault="00425A17" w:rsidP="00425A17">
      <w:pPr>
        <w:spacing w:after="0" w:line="240" w:lineRule="auto"/>
        <w:textAlignment w:val="baseline"/>
        <w:outlineLvl w:val="1"/>
        <w:rPr>
          <w:rFonts w:eastAsia="Times New Roman"/>
          <w:b/>
          <w:bCs/>
          <w:caps/>
          <w:color w:val="000000"/>
          <w:sz w:val="30"/>
          <w:szCs w:val="30"/>
          <w:lang w:eastAsia="cs-CZ"/>
        </w:rPr>
      </w:pPr>
      <w:r w:rsidRPr="00425A17">
        <w:rPr>
          <w:rFonts w:eastAsia="Times New Roman"/>
          <w:b/>
          <w:bCs/>
          <w:caps/>
          <w:color w:val="000000"/>
          <w:sz w:val="30"/>
          <w:szCs w:val="30"/>
          <w:bdr w:val="none" w:sz="0" w:space="0" w:color="auto" w:frame="1"/>
          <w:lang w:eastAsia="cs-CZ"/>
        </w:rPr>
        <w:t>PODPŮRNÁ OPATŘENÍ</w:t>
      </w:r>
    </w:p>
    <w:p w:rsidR="00425A17" w:rsidRPr="00425A17" w:rsidRDefault="00425A17" w:rsidP="00425A17">
      <w:pPr>
        <w:spacing w:after="0" w:line="240" w:lineRule="auto"/>
        <w:textAlignment w:val="baseline"/>
        <w:rPr>
          <w:rFonts w:eastAsia="Times New Roman"/>
          <w:color w:val="000000"/>
          <w:sz w:val="21"/>
          <w:szCs w:val="21"/>
          <w:lang w:eastAsia="cs-CZ"/>
        </w:rPr>
      </w:pPr>
      <w:r w:rsidRPr="00425A17">
        <w:rPr>
          <w:rFonts w:eastAsia="Times New Roman"/>
          <w:color w:val="000000"/>
          <w:sz w:val="21"/>
          <w:szCs w:val="21"/>
          <w:lang w:eastAsia="cs-CZ"/>
        </w:rPr>
        <w:t>Podpůrná opatření představují podporu pro práci pedagoga se žákem, kdy jeho vzdělávání v různé míře vyžaduje upravit průběh jeho vzdělávání.</w:t>
      </w:r>
    </w:p>
    <w:p w:rsidR="00425A17" w:rsidRPr="00425A17" w:rsidRDefault="00425A17" w:rsidP="00425A17">
      <w:pPr>
        <w:spacing w:after="12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Cílem úprav je především vyrovnávat podmínky ke vzdělávání žáka, které mohou být ovlivněny mírnými problémy nebo závažnými obtížemi, které jsou způsobeny nepřipraveností žáka na školu, odlišnými životními podmínkami a odlišným kulturním prostředím ze kterého žák vstupuje do vzdělávání. Současně početnou skupinu budou představovat žáci s nepříznivým aktuálním zdravotním stavem, který může ovlivňovat vzdělávání žáků nebo zdravotní postižení žáka.</w:t>
      </w:r>
    </w:p>
    <w:p w:rsidR="00425A17" w:rsidRPr="00425A17" w:rsidRDefault="00425A17" w:rsidP="00425A17">
      <w:pPr>
        <w:spacing w:after="12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Podpůrná opatření jsou definována školským zákonem, podle rozsahu a obsahu se člení do I. – V. stupně. Podpůrná opatření různých stupňů lze kombinovat.</w:t>
      </w:r>
    </w:p>
    <w:p w:rsidR="00425A17" w:rsidRPr="00425A17" w:rsidRDefault="00425A17" w:rsidP="00425A17">
      <w:pPr>
        <w:spacing w:after="12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Vedle organizace vzdělávání obsahují také speciální učebnice a pomůcky a kompenzační pomůcky.</w:t>
      </w:r>
    </w:p>
    <w:p w:rsidR="00425A17" w:rsidRPr="00425A17" w:rsidRDefault="00425A17" w:rsidP="00425A17">
      <w:pPr>
        <w:spacing w:before="88" w:after="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pict>
          <v:rect id="_x0000_i1025" style="width:0;height:.65pt" o:hralign="center" o:hrstd="t" o:hr="t" fillcolor="#a0a0a0" stroked="f"/>
        </w:pict>
      </w:r>
    </w:p>
    <w:p w:rsidR="00425A17" w:rsidRPr="00425A17" w:rsidRDefault="00425A17" w:rsidP="00425A17">
      <w:pPr>
        <w:spacing w:after="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b/>
          <w:bCs/>
          <w:color w:val="000000"/>
          <w:sz w:val="19"/>
          <w:lang w:eastAsia="cs-CZ"/>
        </w:rPr>
        <w:t>I. stupeň</w:t>
      </w:r>
      <w:r w:rsidRPr="00425A17">
        <w:rPr>
          <w:rFonts w:ascii="Verdana" w:eastAsia="Times New Roman" w:hAnsi="Verdana" w:cs="Times New Roman"/>
          <w:color w:val="000000"/>
          <w:sz w:val="15"/>
          <w:szCs w:val="15"/>
          <w:bdr w:val="none" w:sz="0" w:space="0" w:color="auto" w:frame="1"/>
          <w:lang w:eastAsia="cs-CZ"/>
        </w:rPr>
        <w:t> podpůrných opatření vždy navrhuje a poskytuje škola.</w:t>
      </w:r>
    </w:p>
    <w:p w:rsidR="00425A17" w:rsidRPr="00425A17" w:rsidRDefault="00425A17" w:rsidP="00425A17">
      <w:pPr>
        <w:spacing w:after="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b/>
          <w:bCs/>
          <w:color w:val="000000"/>
          <w:sz w:val="15"/>
          <w:lang w:eastAsia="cs-CZ"/>
        </w:rPr>
        <w:t>II. – V. stupeň</w:t>
      </w:r>
      <w:r w:rsidRPr="00425A17">
        <w:rPr>
          <w:rFonts w:ascii="Verdana" w:eastAsia="Times New Roman" w:hAnsi="Verdana" w:cs="Times New Roman"/>
          <w:color w:val="000000"/>
          <w:sz w:val="15"/>
          <w:lang w:eastAsia="cs-CZ"/>
        </w:rPr>
        <w:t> </w:t>
      </w:r>
      <w:r w:rsidRPr="00425A17">
        <w:rPr>
          <w:rFonts w:ascii="Verdana" w:eastAsia="Times New Roman" w:hAnsi="Verdana" w:cs="Times New Roman"/>
          <w:color w:val="000000"/>
          <w:sz w:val="15"/>
          <w:szCs w:val="15"/>
          <w:lang w:eastAsia="cs-CZ"/>
        </w:rPr>
        <w:t>navrhuje a metodicky provází v jeho naplňování školské poradenské zařízení.</w:t>
      </w:r>
    </w:p>
    <w:p w:rsidR="00425A17" w:rsidRPr="00425A17" w:rsidRDefault="00425A17" w:rsidP="00425A17">
      <w:pPr>
        <w:spacing w:after="12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Pro pedagoga je přirozené, že vzdělává heterogenní třídu, kde se žáci liší mírou nadání i případné potřeby úprav průběhu výuky.</w:t>
      </w:r>
    </w:p>
    <w:p w:rsidR="00425A17" w:rsidRPr="00425A17" w:rsidRDefault="00425A17" w:rsidP="00425A17">
      <w:pPr>
        <w:spacing w:after="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Podpůrná opatření specifikují vybrané druhy podpůrných opatření, které mohou uplatnit ve výuce pedagogové s cílem podpořit vzdělávání žáka zejména změnou pedagogických postupů -jedná se především o úpravy metod výuky, didaktické postupy a úpravy v kritériích hodnocení žáka, případně o změny ve strategiích učení žáka.  Pokud je charakter obtíží žáka takový, že postačují pedagogické postupy, pak škola volí </w:t>
      </w:r>
      <w:r w:rsidRPr="00425A17">
        <w:rPr>
          <w:rFonts w:ascii="Verdana" w:eastAsia="Times New Roman" w:hAnsi="Verdana" w:cs="Times New Roman"/>
          <w:b/>
          <w:bCs/>
          <w:color w:val="000000"/>
          <w:sz w:val="15"/>
          <w:lang w:eastAsia="cs-CZ"/>
        </w:rPr>
        <w:t>1. stupeň podpůrného opatření</w:t>
      </w:r>
      <w:r w:rsidRPr="00425A17">
        <w:rPr>
          <w:rFonts w:ascii="Verdana" w:eastAsia="Times New Roman" w:hAnsi="Verdana" w:cs="Times New Roman"/>
          <w:color w:val="000000"/>
          <w:sz w:val="15"/>
          <w:szCs w:val="15"/>
          <w:lang w:eastAsia="cs-CZ"/>
        </w:rPr>
        <w:t>. Může postačovat zvýšená individualizace v postupech se žákem,  a nebo je třeba, aby se na úpravách v postupech vzdělávání žáka domluvilo více pedagogů, pak je vhodné vytvářet </w:t>
      </w:r>
      <w:r w:rsidRPr="00425A17">
        <w:rPr>
          <w:rFonts w:ascii="Verdana" w:eastAsia="Times New Roman" w:hAnsi="Verdana" w:cs="Times New Roman"/>
          <w:b/>
          <w:bCs/>
          <w:color w:val="000000"/>
          <w:sz w:val="15"/>
          <w:lang w:eastAsia="cs-CZ"/>
        </w:rPr>
        <w:t>Plán pedagogické podpory</w:t>
      </w:r>
      <w:r w:rsidRPr="00425A17">
        <w:rPr>
          <w:rFonts w:ascii="Verdana" w:eastAsia="Times New Roman" w:hAnsi="Verdana" w:cs="Times New Roman"/>
          <w:color w:val="000000"/>
          <w:sz w:val="15"/>
          <w:szCs w:val="15"/>
          <w:lang w:eastAsia="cs-CZ"/>
        </w:rPr>
        <w:t>. Plán stručně popisuje, kde má žák problémy, co se v postupech práce změní a jak se to promítne do metod práce, organizace vzdělávání žáka i jeho hodnocení. Popis má být stručný, je záznamem pro pedagoga/y jak s žákem pracuje/jí, s jakým úspěchem. Pokud zvolené úpravy v práci s žákem nepovedou ani po 3 měsících k očekávané změně, obtíže žáka budou pokračovat nebo se budou ještě zhoršovat, pak vysílá škola zákonného zástupce žáka nebo zletilého žáka do školského poradenského zařízení (PPP nebo SPC).</w:t>
      </w:r>
    </w:p>
    <w:p w:rsidR="00425A17" w:rsidRPr="00425A17" w:rsidRDefault="00425A17" w:rsidP="00425A17">
      <w:pPr>
        <w:spacing w:after="12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Školské poradenské zařízení žáka objedná k posouzení jeho vzdělávacích potřeb, objednací lhůta by měla respektovat i důvody pro které žák do školského poradenského zařízení přichází.</w:t>
      </w:r>
    </w:p>
    <w:p w:rsidR="00425A17" w:rsidRPr="00425A17" w:rsidRDefault="00425A17" w:rsidP="00425A17">
      <w:pPr>
        <w:spacing w:after="12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Na základě vyhodnocení všech podkladů se kterými žák do PPP nebo SPC přichází (Plán pedagogické podpory, vyšetření lékařů a klinických odborníků, vyšetření z jiných školských poradenských zařízení atd.), dojde k vyšetření žáka za účelem posouzení jeho speciálních vzdělávacích potřeb.</w:t>
      </w:r>
    </w:p>
    <w:p w:rsidR="00425A17" w:rsidRPr="00425A17" w:rsidRDefault="00425A17" w:rsidP="00425A17">
      <w:pPr>
        <w:spacing w:after="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Po vyšetření a vyhodnocení všech souvislostí školské poradenské zařízení vydává </w:t>
      </w:r>
      <w:r w:rsidRPr="00425A17">
        <w:rPr>
          <w:rFonts w:ascii="Verdana" w:eastAsia="Times New Roman" w:hAnsi="Verdana" w:cs="Times New Roman"/>
          <w:b/>
          <w:bCs/>
          <w:color w:val="000000"/>
          <w:sz w:val="15"/>
          <w:lang w:eastAsia="cs-CZ"/>
        </w:rPr>
        <w:t>škole Doporučení ke vzdělávání žáka se speciálními vzdělávacími potřebami</w:t>
      </w:r>
      <w:r w:rsidRPr="00425A17">
        <w:rPr>
          <w:rFonts w:ascii="Verdana" w:eastAsia="Times New Roman" w:hAnsi="Verdana" w:cs="Times New Roman"/>
          <w:color w:val="000000"/>
          <w:sz w:val="15"/>
          <w:szCs w:val="15"/>
          <w:lang w:eastAsia="cs-CZ"/>
        </w:rPr>
        <w:t>, které obsahuje závěry z vyšetření žáka a doporučovaná podpůrná opatření.</w:t>
      </w:r>
    </w:p>
    <w:p w:rsidR="00425A17" w:rsidRPr="00425A17" w:rsidRDefault="00425A17" w:rsidP="00425A17">
      <w:pPr>
        <w:spacing w:after="12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K těm patří podpůrná opatření, která se vztahují k:</w:t>
      </w:r>
    </w:p>
    <w:p w:rsidR="00425A17" w:rsidRPr="00425A17" w:rsidRDefault="00425A17" w:rsidP="00425A17">
      <w:pPr>
        <w:numPr>
          <w:ilvl w:val="0"/>
          <w:numId w:val="1"/>
        </w:numPr>
        <w:spacing w:after="0" w:line="240" w:lineRule="auto"/>
        <w:ind w:left="0"/>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úpravě metod a forem vzdělávání žáka</w:t>
      </w:r>
    </w:p>
    <w:p w:rsidR="00425A17" w:rsidRPr="00425A17" w:rsidRDefault="00425A17" w:rsidP="00425A17">
      <w:pPr>
        <w:numPr>
          <w:ilvl w:val="0"/>
          <w:numId w:val="1"/>
        </w:numPr>
        <w:spacing w:after="0" w:line="240" w:lineRule="auto"/>
        <w:ind w:left="0"/>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podpoře školním poradenským pracovištěm</w:t>
      </w:r>
    </w:p>
    <w:p w:rsidR="00425A17" w:rsidRPr="00425A17" w:rsidRDefault="00425A17" w:rsidP="00425A17">
      <w:pPr>
        <w:numPr>
          <w:ilvl w:val="0"/>
          <w:numId w:val="1"/>
        </w:numPr>
        <w:spacing w:after="0" w:line="240" w:lineRule="auto"/>
        <w:ind w:left="0"/>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úpravě obsahu vzdělávání a případně k úpravě výstupů ze vzdělávání u žáků, kde je tato úprava možná a nezbytná</w:t>
      </w:r>
    </w:p>
    <w:p w:rsidR="00425A17" w:rsidRPr="00425A17" w:rsidRDefault="00425A17" w:rsidP="00425A17">
      <w:pPr>
        <w:numPr>
          <w:ilvl w:val="0"/>
          <w:numId w:val="1"/>
        </w:numPr>
        <w:spacing w:after="0" w:line="240" w:lineRule="auto"/>
        <w:ind w:left="0"/>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organizaci vzdělávání (organizace výuky, volnočasových aktivit, prostorového uspořádání, </w:t>
      </w:r>
      <w:r w:rsidRPr="00425A17">
        <w:rPr>
          <w:rFonts w:ascii="Verdana" w:eastAsia="Times New Roman" w:hAnsi="Verdana" w:cs="Times New Roman"/>
          <w:color w:val="000000"/>
          <w:sz w:val="15"/>
          <w:szCs w:val="15"/>
          <w:bdr w:val="none" w:sz="0" w:space="0" w:color="auto" w:frame="1"/>
          <w:lang w:eastAsia="cs-CZ"/>
        </w:rPr>
        <w:t>práce s délkou vyučovací hodiny, délka přestávky, počet žáků ve třídě nebo skupině…)</w:t>
      </w:r>
    </w:p>
    <w:p w:rsidR="00425A17" w:rsidRPr="00425A17" w:rsidRDefault="00425A17" w:rsidP="00425A17">
      <w:pPr>
        <w:numPr>
          <w:ilvl w:val="0"/>
          <w:numId w:val="1"/>
        </w:numPr>
        <w:spacing w:after="0" w:line="240" w:lineRule="auto"/>
        <w:ind w:left="0"/>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IVP</w:t>
      </w:r>
    </w:p>
    <w:p w:rsidR="00425A17" w:rsidRPr="00425A17" w:rsidRDefault="00425A17" w:rsidP="00425A17">
      <w:pPr>
        <w:numPr>
          <w:ilvl w:val="0"/>
          <w:numId w:val="1"/>
        </w:numPr>
        <w:spacing w:after="0" w:line="240" w:lineRule="auto"/>
        <w:ind w:left="0"/>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Personální podpora pro práci pedagoga – asistent pedagoga, další pedagogický pracovník, školní psycholog/školní speciální pedagog,</w:t>
      </w:r>
    </w:p>
    <w:p w:rsidR="00425A17" w:rsidRPr="00425A17" w:rsidRDefault="00425A17" w:rsidP="00425A17">
      <w:pPr>
        <w:numPr>
          <w:ilvl w:val="0"/>
          <w:numId w:val="1"/>
        </w:numPr>
        <w:spacing w:after="0" w:line="240" w:lineRule="auto"/>
        <w:ind w:left="0"/>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lastRenderedPageBreak/>
        <w:t>Podpora pro žáka - tlumočník do českého znakového jazyka, přepisovatel pro neslyšící, průvodce pro orientaci v prostoru, osobní asistent nebo přítomnost další osoby</w:t>
      </w:r>
    </w:p>
    <w:p w:rsidR="00425A17" w:rsidRPr="00425A17" w:rsidRDefault="00425A17" w:rsidP="00425A17">
      <w:pPr>
        <w:numPr>
          <w:ilvl w:val="0"/>
          <w:numId w:val="1"/>
        </w:numPr>
        <w:spacing w:after="0" w:line="240" w:lineRule="auto"/>
        <w:ind w:left="0"/>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Metodická podpora v intenzivní podobě ze strany ŠPZ po dobu 6 měsíců v případech, kdy škola vzdělává žáka, jehož vzdělávání a nastavení podpůrných opatření vyžaduje těsnou spolupráci s odborníky ŠPZ</w:t>
      </w:r>
    </w:p>
    <w:p w:rsidR="00425A17" w:rsidRPr="00425A17" w:rsidRDefault="00425A17" w:rsidP="00425A17">
      <w:pPr>
        <w:numPr>
          <w:ilvl w:val="0"/>
          <w:numId w:val="1"/>
        </w:numPr>
        <w:spacing w:after="0" w:line="240" w:lineRule="auto"/>
        <w:ind w:left="0"/>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Hodnocení žáka – školské zařízení doporučuje přesně, jak je třeba zohlednit specifika žákových obtíží v jeho hodnocení a sebehodnocení, jak pracovat s kritérii, s motivací a s postoji žáků ke vzdělávání</w:t>
      </w:r>
    </w:p>
    <w:p w:rsidR="00425A17" w:rsidRPr="00425A17" w:rsidRDefault="00425A17" w:rsidP="00425A17">
      <w:pPr>
        <w:spacing w:after="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Podpora pedagogické práce a současně posílení vzdělávání žáků </w:t>
      </w:r>
      <w:r w:rsidRPr="00425A17">
        <w:rPr>
          <w:rFonts w:ascii="Verdana" w:eastAsia="Times New Roman" w:hAnsi="Verdana" w:cs="Times New Roman"/>
          <w:b/>
          <w:bCs/>
          <w:color w:val="000000"/>
          <w:sz w:val="15"/>
          <w:lang w:eastAsia="cs-CZ"/>
        </w:rPr>
        <w:t>zahrnuje intervence, které směřují často k reedukaci prostřednictvím předmětu speciálně pedagogické péče nebo intervence pedagogické, které zahrnují posílení výuky v předmětech, kde je třeba podpořit výuku žáka nebo přípravu na ní, včetně domácí přípravy.</w:t>
      </w:r>
    </w:p>
    <w:p w:rsidR="00425A17" w:rsidRPr="00425A17" w:rsidRDefault="00425A17" w:rsidP="00425A17">
      <w:pPr>
        <w:spacing w:after="12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Pokud to vzdělávání žáka vyžaduje, je možné jeho vzdělávání prodloužit až o 1 respektive 2 roky. Dále je možné jeden ročník rozložit na 2 roky.</w:t>
      </w:r>
    </w:p>
    <w:p w:rsidR="00425A17" w:rsidRPr="00425A17" w:rsidRDefault="00425A17" w:rsidP="00425A17">
      <w:pPr>
        <w:spacing w:after="12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Pokud žák měl v průběhu vzdělávání podpůrná opatření, která jsou takového druhu, že se bez nich neobejde žáka ani při přijímacím řízení, pak mu bude upraven průběh této zkoušky.</w:t>
      </w:r>
    </w:p>
    <w:p w:rsidR="00425A17" w:rsidRPr="00425A17" w:rsidRDefault="00425A17" w:rsidP="00425A17">
      <w:pPr>
        <w:spacing w:after="12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Obdobně i u ukončování vzdělávání na střední škole zakončené závěrečnou zkouškou, výučním listem a praktickou zkouškou nebo maturitní zkouškou, podobně jako absolutoriem v konzervatoři nebo na vyšší odborné škole. </w:t>
      </w:r>
    </w:p>
    <w:p w:rsidR="00425A17" w:rsidRPr="00425A17" w:rsidRDefault="00425A17" w:rsidP="00425A17">
      <w:pPr>
        <w:spacing w:after="12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Podpůrná opatření zahrnují také požadavek na stavební úpravy prostoru, kde se žák vzdělává.</w:t>
      </w:r>
    </w:p>
    <w:p w:rsidR="00425A17" w:rsidRPr="00425A17" w:rsidRDefault="00425A17" w:rsidP="00425A17">
      <w:pPr>
        <w:spacing w:after="120" w:line="240" w:lineRule="auto"/>
        <w:textAlignment w:val="baseline"/>
        <w:rPr>
          <w:rFonts w:ascii="Verdana" w:eastAsia="Times New Roman" w:hAnsi="Verdana" w:cs="Times New Roman"/>
          <w:color w:val="000000"/>
          <w:sz w:val="15"/>
          <w:szCs w:val="15"/>
          <w:lang w:eastAsia="cs-CZ"/>
        </w:rPr>
      </w:pPr>
      <w:r w:rsidRPr="00425A17">
        <w:rPr>
          <w:rFonts w:ascii="Verdana" w:eastAsia="Times New Roman" w:hAnsi="Verdana" w:cs="Times New Roman"/>
          <w:color w:val="000000"/>
          <w:sz w:val="15"/>
          <w:szCs w:val="15"/>
          <w:lang w:eastAsia="cs-CZ"/>
        </w:rPr>
        <w:t>Podpůrná opatření mají tzv. normovanou finanční náročnost, je tedy zřejmé kolik finančních prostředků za opatřením půjde. Stejně tak je zřejmé, že podpůrné opatření je tzv. nárokové.</w:t>
      </w:r>
    </w:p>
    <w:p w:rsidR="000B37F1" w:rsidRDefault="000B37F1"/>
    <w:p w:rsidR="00425A17" w:rsidRDefault="00425A17"/>
    <w:p w:rsidR="00425A17" w:rsidRDefault="00425A17" w:rsidP="00425A17">
      <w:pPr>
        <w:pStyle w:val="Nadpis1"/>
        <w:shd w:val="clear" w:color="auto" w:fill="FFFFFF"/>
        <w:rPr>
          <w:rFonts w:ascii="Helvetica" w:hAnsi="Helvetica" w:cs="Helvetica"/>
          <w:b w:val="0"/>
          <w:bCs w:val="0"/>
          <w:caps/>
          <w:color w:val="154187"/>
        </w:rPr>
      </w:pPr>
      <w:r>
        <w:rPr>
          <w:rFonts w:ascii="Helvetica" w:hAnsi="Helvetica" w:cs="Helvetica"/>
          <w:b w:val="0"/>
          <w:bCs w:val="0"/>
          <w:caps/>
          <w:color w:val="154187"/>
        </w:rPr>
        <w:t>STUPNĚ PODPŮRNÝCH OPATŘENÍ</w:t>
      </w:r>
    </w:p>
    <w:p w:rsidR="00425A17" w:rsidRDefault="00425A17" w:rsidP="00425A17">
      <w:pPr>
        <w:numPr>
          <w:ilvl w:val="0"/>
          <w:numId w:val="2"/>
        </w:numPr>
        <w:shd w:val="clear" w:color="auto" w:fill="FFFFFF"/>
        <w:spacing w:after="0" w:line="240" w:lineRule="auto"/>
        <w:rPr>
          <w:rFonts w:ascii="inherit" w:hAnsi="inherit" w:cs="Helvetica"/>
          <w:caps/>
          <w:color w:val="000000"/>
          <w:sz w:val="20"/>
          <w:szCs w:val="20"/>
        </w:rPr>
      </w:pPr>
      <w:r>
        <w:rPr>
          <w:rFonts w:ascii="inherit" w:hAnsi="inherit" w:cs="Helvetica"/>
          <w:caps/>
          <w:color w:val="000000"/>
          <w:sz w:val="20"/>
          <w:szCs w:val="20"/>
        </w:rPr>
        <w:t>DOC. MGR. PAEDDR. JAN MICHALÍK, PH.D.</w:t>
      </w:r>
    </w:p>
    <w:p w:rsidR="00425A17" w:rsidRDefault="00425A17" w:rsidP="00425A17">
      <w:pPr>
        <w:numPr>
          <w:ilvl w:val="0"/>
          <w:numId w:val="2"/>
        </w:numPr>
        <w:shd w:val="clear" w:color="auto" w:fill="FFFFFF"/>
        <w:spacing w:after="0" w:line="240" w:lineRule="auto"/>
        <w:rPr>
          <w:rFonts w:ascii="inherit" w:hAnsi="inherit" w:cs="Helvetica"/>
          <w:caps/>
          <w:color w:val="000000"/>
          <w:sz w:val="20"/>
          <w:szCs w:val="20"/>
        </w:rPr>
      </w:pPr>
      <w:r>
        <w:rPr>
          <w:rFonts w:ascii="inherit" w:hAnsi="inherit" w:cs="Helvetica"/>
          <w:caps/>
          <w:color w:val="000000"/>
          <w:sz w:val="20"/>
          <w:szCs w:val="20"/>
        </w:rPr>
        <w:t>MGR. JINDŘICH MONČEK</w:t>
      </w:r>
    </w:p>
    <w:p w:rsidR="00425A17" w:rsidRDefault="00425A17" w:rsidP="00425A17">
      <w:pPr>
        <w:numPr>
          <w:ilvl w:val="0"/>
          <w:numId w:val="2"/>
        </w:numPr>
        <w:shd w:val="clear" w:color="auto" w:fill="FFFFFF"/>
        <w:spacing w:after="0" w:line="240" w:lineRule="auto"/>
        <w:rPr>
          <w:rFonts w:ascii="inherit" w:hAnsi="inherit" w:cs="Helvetica"/>
          <w:caps/>
          <w:color w:val="000000"/>
          <w:sz w:val="20"/>
          <w:szCs w:val="20"/>
        </w:rPr>
      </w:pPr>
      <w:r>
        <w:rPr>
          <w:rFonts w:ascii="inherit" w:hAnsi="inherit" w:cs="Helvetica"/>
          <w:caps/>
          <w:color w:val="000000"/>
          <w:sz w:val="20"/>
          <w:szCs w:val="20"/>
        </w:rPr>
        <w:t>PAEDDR. PAVLÍNA BASLEROVÁ</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Závažnost příslušného postižení (znevýhodnění) vyžaduje různou intenzitu poskytovaných podpůrných opatření. Například žák s diagnózou dětská mozková obrna může mít drobné postižení hybnosti ruky, které se projeví zhoršeným grafickým projevem, stejně tak může jít o žáka zcela nehybného, plně závislého na podpoře další osoby.</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Právě úroveň dopadů zdravotního postižení (znevýhodnění) na vzdělávání je základním východiskem pro rozdělení podpůrných opatření do jednotlivých stupňů podpory. V následujícím textu uvádíme obecný přehled charakteristik žáků se speciálními vzdělávacími potřebami zařazených do jednotlivých stupňů podpory. Jedná se o ilustrativní charakteristiku.</w:t>
      </w:r>
    </w:p>
    <w:p w:rsidR="00425A17" w:rsidRDefault="00425A17" w:rsidP="00425A17">
      <w:pPr>
        <w:pStyle w:val="Nadpis1"/>
        <w:shd w:val="clear" w:color="auto" w:fill="FFFFFF"/>
        <w:spacing w:before="0"/>
        <w:rPr>
          <w:rFonts w:ascii="Helvetica" w:hAnsi="Helvetica" w:cs="Helvetica"/>
          <w:b w:val="0"/>
          <w:bCs w:val="0"/>
          <w:caps/>
          <w:color w:val="222222"/>
          <w:sz w:val="48"/>
          <w:szCs w:val="48"/>
        </w:rPr>
      </w:pPr>
      <w:r>
        <w:rPr>
          <w:rFonts w:ascii="Helvetica" w:hAnsi="Helvetica" w:cs="Helvetica"/>
          <w:b w:val="0"/>
          <w:bCs w:val="0"/>
          <w:caps/>
          <w:color w:val="222222"/>
        </w:rPr>
        <w:t>STUPEŇ 1</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Cílem podpůrných opatření v tomto stupni je aplikovat běžně dostupné metody, formy práce, které při správné aplikaci mohou působit jako prevence zhoršování školní úspěšnosti žáka. Správné uplatnění podpůrných opatření přináležejících prvnímu stupni může být důvodem, proč se žák „optimálně stabilizuje“ ve svém výkonu a nedostane se do spirály školních neúspěchů, nechuti ke vzdělávání a v nejhorším případě i propadu do vyšších stupňů podpory – tato situace se pochopitelně nemůže týkat žáků, kterým kvůli objektivitě potíží vyplývajících z jejich zdravotního postižení náleží od počátku vyšší stupeň podpory.</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Podpůrná opatření v tomto stupni identifikují samotní pedagogové školy, kterou žák navštěvuje. Slouží jim k tomu pozorování žáka v celé šíři jeho působení ve škole, rozbory žákovských prací, dlouhodobé hodnocení, znalost sociálního zázemí, znalost aktuálního zdravotního stavu či rodinné situace žáka. Opravdová, a ne jen povrchní znalost žáka je nutnou podmínkou pro možnost nalezení příčin selhávání, a tím i pro možnost včasného nastavení adekvátních opatření, která pomohou předejít větším vzdělávacím problémům.</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 xml:space="preserve">Podporu zajišťují jednotliví vyučující ve třídě, konzultují ji s pracovníky školního poradenského pracoviště a v odůvodněných případech i pracovníky školského poradenského zařízení. Podpora spočívá například v úpravě </w:t>
      </w:r>
      <w:r>
        <w:rPr>
          <w:rFonts w:ascii="inherit" w:hAnsi="inherit" w:cs="Helvetica"/>
          <w:color w:val="000000"/>
          <w:sz w:val="20"/>
          <w:szCs w:val="20"/>
        </w:rPr>
        <w:lastRenderedPageBreak/>
        <w:t>zasedacího pořádku, délky vyučovací jednotky, přestávek mezi hodinami, v plánování a organizaci využití času stráveného ve škole mimo vyučování a ve stanovení odlišných časových limitů pro práci žáka.</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Vhodné je využívání metod a forem výuky respektujících obecné didaktické zásady, využívání způsobů výuky adekvátních pedagogické situaci s důrazem na individuální práci se žákem a upřednostnění metod reflektujících učební styly žáka, metod aktivního učení se zaměřením na prevenci únavy a metod na podporu motivace. Úprava vzdělávacího obsahu neovlivňuje úroveň školních výstupů (může však dojít ke specifikování základního učiva a k vymezení stěžejních dat).</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Intervence by měla být zaměřena na podporu školní úspěšnosti v rámci běžné výuky. Ve zvýšené míře se využívá spolupráce se spolužáky v rámci třídy a spolupráce s rodiči při přípravě na výuku. Jako pomůcky se využívají běžně dostupné učebnice, doplněné o materiály na procvičování učiva, přehledy učiva, materiály určené k vizualizaci učiva (např. časové a číselné osy atp.). Při vzdělávání lze využít plán pedagogické podpory.</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Podpůrná opatření v prvním stupni jsou hrazena v rámci běžného provozu školy, žákům se stupněm podpory 1 nenáleží žádný navýšený normativ. De facto se jedná o zvýraznění zásad a pravidel individuálního přístupu, který by měl být dobrému učiteli vlastní.</w:t>
      </w:r>
    </w:p>
    <w:p w:rsidR="00425A17" w:rsidRDefault="00425A17" w:rsidP="00425A17">
      <w:pPr>
        <w:pStyle w:val="Nadpis1"/>
        <w:shd w:val="clear" w:color="auto" w:fill="FFFFFF"/>
        <w:spacing w:before="0"/>
        <w:rPr>
          <w:rFonts w:ascii="Helvetica" w:hAnsi="Helvetica" w:cs="Helvetica"/>
          <w:b w:val="0"/>
          <w:bCs w:val="0"/>
          <w:caps/>
          <w:color w:val="222222"/>
          <w:sz w:val="48"/>
          <w:szCs w:val="48"/>
        </w:rPr>
      </w:pPr>
      <w:r>
        <w:rPr>
          <w:rFonts w:ascii="Helvetica" w:hAnsi="Helvetica" w:cs="Helvetica"/>
          <w:b w:val="0"/>
          <w:bCs w:val="0"/>
          <w:caps/>
          <w:color w:val="222222"/>
        </w:rPr>
        <w:t>STUPEŇ 2</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Cílem podpůrných opatření v tomto stupni je zařazovat takové speciálněpedagogické metody a formy práce, které je učitel schopen realizovat bez závažnějších dopadů na vzdělávání ostatních žáků ve třídě. Optimální je plné zapojení žáka do společné výuky s důrazem na individuální přístup k žákovi.</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Tato opatření se realizují na základě doporučení ŠPZ, jejichž pracovník v závěru zprávy z vyšetření (doporučení) identifikuje potřebu podpůrných opatření ve stupni 2. Jsou respektována doporučení ŠPZ týkající se organizace vzdělávání (úprava zasedacího pořádku, délka vyučovací jednotky, přestávky mezi hodinami i doba přímé práce v závislosti na využití zraku, sluchu, doba určená k tichému či hlasitému čtení, psaní, plánování a organizace využití času stráveného ve škole mimo vyučování a stanovení odlišných časových limitů pro práci žáka).</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Výuka žáka je organizována po většinu času společně se třídou, na specifické činnosti (případně pro výuku některých předmětů) může být vytvořena skupina žáků s obdobným problémem ve vzdělávání (např. některé hodiny ČJ mohou být věnovány upevňování základního učiva u skupiny žáků dlouhodobě selhávajících za podpory dalšího vyučujícího v době, kdy zbytek třídy plní výstupy, kterých tito žáci nejsou schopni dosáhnout, nebo v době mimo základní učební plán třídy).</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Z individuálně nastavené organizace vzdělávání vyplývají i metody a formy používané ve výuce. Pedagog by měl být schopen pružně reagovat na žákovy individuální vzdělávací potřeby a dle aktuální situace využívat jednotlivé aktivizující metody, volit „kontaktnější“ styl výuky, kooperativní učení a hledat nové formy za podpory vlastních vzdělávacích aktivit.</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V případě potřeby mohou být na základě doporučení ŠPZ upraveny podmínky k vykonání státní maturity, v souladu s nastavenými vzdělávacími podmínkami používanými při každodenním vzdělávání jsou upraveny i podmínky pro vykonání přijímací či závěrečné zkoušky organizované příslušnou školou.</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V případě potřeby (na základě doporučení ŠPZ) se žák vzdělává s podporou didaktických či speciálnědidaktických pomůcek, tyto však nejsou finančně zvlášť náročné (jedná se např. o zvětšené či zjednodušené výukové materiály, upravené rýsovací soupravy, různé nástavce na psací potřeby, možnost využívat kalkulátor, psaní na PC, přehledy denního režimu apod.). Obsah učiva odpovídá „běžnému“ RVP, některé výstupy však mohou být redukovány v závislosti na možnostech žáka (v tomto případě musí být zpracován IVP!).</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Využíváme rozšířené formy hodnocení, které nám umožňují reflektovat požadavky individuálního přístupu k žákovi. Zahrnují takové formy hodnocení, které komplexně obsáhnou průběh vzdělávání žáka v souvislosti s jeho osobnostními vlastnostmi i projevy jeho primární diagnózy. Zachycují řadu aspektů, které s dosahováním znalostí, dovedností a kompetencí souvisí a které lze jen těžko hodnotit známkou (např. snahu, pečlivost aj.).</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lastRenderedPageBreak/>
        <w:t>V tomto stupni podpory lze využít vzdělávání s podporou plánu pedagogické podpory, v případě potřeby je možné využít i IVP. IVP však zpravidla neobsahuje doporučení úprav ve všech oblastech, které upravuje platná legislativa. Stanovená opatření jsou vyhodnocována ve spolupráci se ŠPZ, které je doporučilo.</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Jak již bylo uvedeno výše, do vzdělávání žáka může v tomto stupni podpory vstoupit další pedagogický pracovník, doba jeho působení je však omezená (1 hodina týdně, případně vyšší počet hodin u vytvořené skupiny žáků s obdobným vzdělávacím problémem). Významnou roli zde může sehrát tzv.</w:t>
      </w:r>
      <w:r>
        <w:rPr>
          <w:rStyle w:val="apple-converted-space"/>
          <w:rFonts w:ascii="inherit" w:hAnsi="inherit" w:cs="Helvetica"/>
          <w:color w:val="000000"/>
          <w:sz w:val="20"/>
          <w:szCs w:val="20"/>
        </w:rPr>
        <w:t> </w:t>
      </w:r>
      <w:r>
        <w:rPr>
          <w:rStyle w:val="Siln"/>
          <w:rFonts w:ascii="inherit" w:hAnsi="inherit" w:cs="Helvetica"/>
          <w:color w:val="000000"/>
          <w:sz w:val="20"/>
          <w:szCs w:val="20"/>
        </w:rPr>
        <w:t>sdílený asistent</w:t>
      </w:r>
      <w:r>
        <w:rPr>
          <w:rFonts w:ascii="inherit" w:hAnsi="inherit" w:cs="Helvetica"/>
          <w:color w:val="000000"/>
          <w:sz w:val="20"/>
          <w:szCs w:val="20"/>
        </w:rPr>
        <w:t>. Vzhledem k časovému omezení potřeby podpory není sdílený asistent určen k jednomu konkrétnímu žákovi, ale působí operativně při podpoře většího počtu žáků v konkrétních pedagogických situacích, které jeho účast vyžadují. V současnosti však není vyjasněna legislativní a organizační stránka jeho nasazování do škol a tříd.</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Podstatné je, že podpůrná opatření ve 2. stupni vycházejí vždy z doporučení ŠPZ a zahrnují i efektivní podpůrná opatření z 1. stupně podpory. Škole vzdělávající žáka ve stupni podpory 2 náleží navýšení finančních prostředků ze státního rozpočtu odpovídající potřebám žáka.</w:t>
      </w:r>
    </w:p>
    <w:p w:rsidR="00425A17" w:rsidRDefault="00425A17" w:rsidP="00425A17">
      <w:pPr>
        <w:pStyle w:val="Nadpis1"/>
        <w:shd w:val="clear" w:color="auto" w:fill="FFFFFF"/>
        <w:spacing w:before="0"/>
        <w:rPr>
          <w:rFonts w:ascii="Helvetica" w:hAnsi="Helvetica" w:cs="Helvetica"/>
          <w:b w:val="0"/>
          <w:bCs w:val="0"/>
          <w:caps/>
          <w:color w:val="222222"/>
          <w:sz w:val="48"/>
          <w:szCs w:val="48"/>
        </w:rPr>
      </w:pPr>
      <w:r>
        <w:rPr>
          <w:rFonts w:ascii="Helvetica" w:hAnsi="Helvetica" w:cs="Helvetica"/>
          <w:b w:val="0"/>
          <w:bCs w:val="0"/>
          <w:caps/>
          <w:color w:val="222222"/>
        </w:rPr>
        <w:t>STUPEŇ 3</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Charakter potíží žáka ve vzdělávání v tomto stupni podpory vyžaduje takové dílčí úpravy v organizaci a průběhu vzdělávání, které již závažněji zasáhnou do organizace práce s třídou, v níž je žák vzděláván. Rozsah těchto opatření zahrnuje zejména úpravy ve vzdělávacích podmínkách a postupech režimu školní práce a domácí přípravy. Tato opatření se realizují na základě doporučení ŠPZ, jehož pracovník v závěru zprávy z vyšetření (doporučení) identifikuje potřebu podpůrných opatření ve stupni 3.</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Odborná speciálněpedagogická a psychologická intervence je nutná. Provádí se dle potřeby ve škole, v ŠPZ či v rodině žáka. Podpora je poskytována školou v užší spolupráci se ŠPZ. Při vzdělávání je nutno využívat speciálních forem, metod, postupů a je nutné rovněž respektovat možnosti žáka při hodnocení výsledků vzdělávání.</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Žáci jsou zpravidla vzděláváni s využitím individuálního vzdělávacího plánu. V případě žáka zařazeného do systému speciálního vzdělávání jsou žáci vzděláváni dle upraveného RVP (pro žáky se smyslovým či tělesným postižením, NKS). Obsah učiva může být v odůvodněných případech redukován, plánované školní výstupy zohledňují možnosti žáků vycházející z jejich postižení. Žák s mentální retardací je vzděláván podle ŠVP (IVP) zpracovaného na základě přílohy 2 – pro žáky s LMP.</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Kromě běžných výukových materiálů jsou využívány i speciální učebnice, didaktické, kompenzační a rehabilitační pomůcky. Dle potřeb žáků a posouzení ŠPZ je možné snížit počet žáků ve třídě (obecně či ve vybraných předmětech).</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V odůvodněných případech je indikováno využití asistenta pedagoga, dle konkrétních projevů daného zdravotního postižení obecně nebo na některé předměty (příklad: žáci s tělesným postižením – hodiny výchov: TV, PV apod.). I v tomto stupni podpory může působit tzv. sdílený asistent, časová dotace pro podporu žáka či skupiny žáků s obdobným vzdělávacím problémem je vyšší než ve stupni 2 (zpravidla 5–8 hodin týdně).</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Pro žáky a studenty školy je možné využít prodloužení délky středního a vyššího odborného vzdělávání, nejvýše však o 1 rok. Stanovená opatření jsou vždy v určených intervalech vyhodnocována ve spolupráci se školským poradenským zařízením. Podpůrná opatření ve 3. stupni vycházejí vždy z doporučení ŠPZ a zahrnují i efektivní podpůrná opatření z 1. a 2. stupně podpory. Škole vzdělávající žáka ve stupni podpory 3 náleží navýšení finančních prostředků ze státního rozpočtu odpovídající potřebám žáka. Tato finanční podpora umožňuje vzdělávání skupiny žáků s SVP v počtu 8–14 žáků.</w:t>
      </w:r>
    </w:p>
    <w:p w:rsidR="00425A17" w:rsidRDefault="00425A17" w:rsidP="00425A17">
      <w:pPr>
        <w:pStyle w:val="Nadpis1"/>
        <w:shd w:val="clear" w:color="auto" w:fill="FFFFFF"/>
        <w:spacing w:before="0"/>
        <w:rPr>
          <w:rFonts w:ascii="Helvetica" w:hAnsi="Helvetica" w:cs="Helvetica"/>
          <w:b w:val="0"/>
          <w:bCs w:val="0"/>
          <w:caps/>
          <w:color w:val="222222"/>
          <w:sz w:val="48"/>
          <w:szCs w:val="48"/>
        </w:rPr>
      </w:pPr>
      <w:r>
        <w:rPr>
          <w:rFonts w:ascii="Helvetica" w:hAnsi="Helvetica" w:cs="Helvetica"/>
          <w:b w:val="0"/>
          <w:bCs w:val="0"/>
          <w:caps/>
          <w:color w:val="222222"/>
        </w:rPr>
        <w:t>STUPEŇ 4</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Charakter potíží žáka ve vzdělávání vyžaduje podstatné úpravy v organizaci a průběhu vzdělávání, ve stanovení postupu při jejich nápravě i forem nápravy. Tato opatření se realizují na základě doporučení ŠPZ, jehož pracovník v závěru zprávy z vyšetření (doporučení) identifikuje potřebu podpůrných opatření ve stupni 4.</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lastRenderedPageBreak/>
        <w:t>Žák vzdělávaný formou individuální integrace je vzděláván vždy s podporou IVP. Žák vzdělávaný formou skupinové integrace nebo ve škole samostatně zřízené pro žáky s SVP je vzděláván podle upraveného ŠVP (viz stupeň 3). Žák s mentální retardací je vzděláván podle RVP pro ZŠ speciální. Odborná speciálněpedagogická intervence ve škole je zpravidla pravidelná a četnější než v předcházejících stupních podpory.</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Při vzdělávání je nutné využívání speciálních učebnic, speciálních didaktických, finančně náročnějších kompenzačních a rehabilitačních pomůcek a ve většině případů je nutná i rozsáhlejší úprava pracovního prostředí ve třídě (upravené pracovní místo). Výuka předmětů speciálněpedagogické péče odpovídající speciálním vzdělávacím potřebám žáka je zajišťována pedagogem s příslušnou kvalifikací (v odůvodněných případech se využívá i terapeutických metod).</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U některých žáků může být nutné při podpoře komunikace ve výuce využívat náhradní formy komunikace (alternativní a augmentativní komunikace) s podporou potřebných pomůcek (komunikátory, PC, speciální klávesnice apod.). Obvyklá je potřeba dalšího pedagogického pracovníka nebo další osoby podílející se na práci se žákem – např. asistent pedagoga s odbornou kvalifikací odpovídající jeho náplni práce, může být využíváno snížení počtu žáků ve třídě. Vzhledem k míře (hloubce) postižení může být činnost asistenta pedagoga rozšířena o poskytování pomoci při pohybu a sebeobsluze. Asistence je využívána zpravidla i u přijímacích, závěrečných a maturitních zkoušek.</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Obsah a průběžné vyhodnocování IVP je obligatorní součástí vzdělávání této skupiny žáků. Pro hodnocení přínosů IVP je možno zřídit pedagogická konzilia složená z pedagogů a dalších odborníků poskytujících žákovi služby (vzdělávací i další).</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U žáků v základním vzdělávání, kteří při výuce používají jiný způsob komunikace (nevidomí či neslyšící žáci), je možné využít prodloužení povinné školní docházky o jeden rok. To se však prakticky využívá pouze ve školách (třídách) samostatně zřízených pro tyto žáky. Pro studenty je možné využít prodloužení délky středního a vyššího odborného vzdělávání, nejvýše však o 2 roky.</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Jak již bylo zmíněno, do vzdělávání žáka s potřebou podpory ve stupni 4 vstupují další pedagogičtí pracovníci:</w:t>
      </w:r>
    </w:p>
    <w:p w:rsidR="00425A17" w:rsidRDefault="00425A17" w:rsidP="00425A17">
      <w:pPr>
        <w:numPr>
          <w:ilvl w:val="0"/>
          <w:numId w:val="3"/>
        </w:numPr>
        <w:shd w:val="clear" w:color="auto" w:fill="FFFFFF"/>
        <w:spacing w:after="0" w:line="240" w:lineRule="auto"/>
        <w:rPr>
          <w:rFonts w:ascii="inherit" w:hAnsi="inherit" w:cs="Helvetica"/>
          <w:color w:val="000000"/>
          <w:sz w:val="20"/>
          <w:szCs w:val="20"/>
        </w:rPr>
      </w:pPr>
      <w:r>
        <w:rPr>
          <w:rFonts w:ascii="inherit" w:hAnsi="inherit" w:cs="Helvetica"/>
          <w:color w:val="000000"/>
          <w:sz w:val="20"/>
          <w:szCs w:val="20"/>
        </w:rPr>
        <w:t>Asistent pedagoga může být zařazen do vzdělávání na dobu odpovídající učebnímu plánu žáka.</w:t>
      </w:r>
    </w:p>
    <w:p w:rsidR="00425A17" w:rsidRDefault="00425A17" w:rsidP="00425A17">
      <w:pPr>
        <w:numPr>
          <w:ilvl w:val="0"/>
          <w:numId w:val="3"/>
        </w:numPr>
        <w:shd w:val="clear" w:color="auto" w:fill="FFFFFF"/>
        <w:spacing w:after="0" w:line="240" w:lineRule="auto"/>
        <w:rPr>
          <w:rFonts w:ascii="inherit" w:hAnsi="inherit" w:cs="Helvetica"/>
          <w:color w:val="000000"/>
          <w:sz w:val="20"/>
          <w:szCs w:val="20"/>
        </w:rPr>
      </w:pPr>
      <w:r>
        <w:rPr>
          <w:rFonts w:ascii="inherit" w:hAnsi="inherit" w:cs="Helvetica"/>
          <w:color w:val="000000"/>
          <w:sz w:val="20"/>
          <w:szCs w:val="20"/>
        </w:rPr>
        <w:t>Na vzdělávání může participovat další pedagogický pracovník (např. druhý pedagog ve třídě ZŠ speciální).</w:t>
      </w:r>
    </w:p>
    <w:p w:rsidR="00425A17" w:rsidRDefault="00425A17" w:rsidP="00425A17">
      <w:pPr>
        <w:numPr>
          <w:ilvl w:val="0"/>
          <w:numId w:val="3"/>
        </w:numPr>
        <w:shd w:val="clear" w:color="auto" w:fill="FFFFFF"/>
        <w:spacing w:after="0" w:line="240" w:lineRule="auto"/>
        <w:rPr>
          <w:rFonts w:ascii="inherit" w:hAnsi="inherit" w:cs="Helvetica"/>
          <w:color w:val="000000"/>
          <w:sz w:val="20"/>
          <w:szCs w:val="20"/>
        </w:rPr>
      </w:pPr>
      <w:r>
        <w:rPr>
          <w:rFonts w:ascii="inherit" w:hAnsi="inherit" w:cs="Helvetica"/>
          <w:color w:val="000000"/>
          <w:sz w:val="20"/>
          <w:szCs w:val="20"/>
        </w:rPr>
        <w:t>Pravidelná individuální či skupinová výuka předmětů speciálněpedagogické péče.</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Podpůrná opatření ve 4. stupni vycházejí vždy z doporučení ŠPZ a zahrnují i efektivní podpůrná opatření z 1.–3. stupně podpory. Škole vzdělávající žáka ve stupni podpory ٤ náleží navýšení finančních prostředků ze státního rozpočtu odpovídající potřebám žáka. Tato finanční podpora umožňuje vzdělávání skupiny žáků s SVP v počtu 6–8 žáků.</w:t>
      </w:r>
    </w:p>
    <w:p w:rsidR="00425A17" w:rsidRDefault="00425A17" w:rsidP="00425A17">
      <w:pPr>
        <w:pStyle w:val="Nadpis1"/>
        <w:shd w:val="clear" w:color="auto" w:fill="FFFFFF"/>
        <w:spacing w:before="0"/>
        <w:rPr>
          <w:rFonts w:ascii="Helvetica" w:hAnsi="Helvetica" w:cs="Helvetica"/>
          <w:b w:val="0"/>
          <w:bCs w:val="0"/>
          <w:caps/>
          <w:color w:val="222222"/>
          <w:sz w:val="48"/>
          <w:szCs w:val="48"/>
        </w:rPr>
      </w:pPr>
      <w:r>
        <w:rPr>
          <w:rFonts w:ascii="Helvetica" w:hAnsi="Helvetica" w:cs="Helvetica"/>
          <w:b w:val="0"/>
          <w:bCs w:val="0"/>
          <w:caps/>
          <w:color w:val="222222"/>
        </w:rPr>
        <w:t>STUPEŇ 5</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Charakter potíží žáka ve vzdělávání vyžaduje nejvyšší míru přizpůsobení organizace, obsahu, forem a metod vzdělávání vzdělávacím potřebám žáka a respektování jeho možností a omezení při hodnocení výsledků vzdělávání. Obsah učiva je vždy modifikován, případně i výrazně redukován vzhledem k možnostem žáka. U žáka s mentální retardací se zpravidla uplatňuje vzdělávání dle IVP zpracovaného dle RVP ZŠS, případně dle jeho části určené pro rehabilitační vzdělávací program.</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Při vzdělávání je nezbytné využívání speciálních učebnic a dalších alternativních výu</w:t>
      </w:r>
      <w:r>
        <w:rPr>
          <w:rFonts w:ascii="inherit" w:hAnsi="inherit" w:cs="Helvetica"/>
          <w:color w:val="000000"/>
          <w:sz w:val="20"/>
          <w:szCs w:val="20"/>
        </w:rPr>
        <w:softHyphen/>
        <w:t>kových materiálů, speciálních didaktických, finančně náročných kompenzačních a rehabilitačních pomůcek a vždy je nutná i úprava pracovního prostředí ve třídě (škole). Výuka předmětů speciálněpedagogické péče odpovídající speciálním vzdělávacím potřebám žáka je zajišťována s využitím terapeutických metod a s podporou pomůcek pedagogem s příslušnou odbornou kvalifikací individuálně, případně ve skupině s podporou (často s podporou dalšího pedagogického pracovníka).</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 xml:space="preserve">U některých žáků se vzdělávání neobejde bez využití náhradních forem komunikace (alternativní a augmentativní komunikace) a využití potřebných pomůcek (komunikátory, PC, speciální klávesnice apod.). Je </w:t>
      </w:r>
      <w:r>
        <w:rPr>
          <w:rFonts w:ascii="inherit" w:hAnsi="inherit" w:cs="Helvetica"/>
          <w:color w:val="000000"/>
          <w:sz w:val="20"/>
          <w:szCs w:val="20"/>
        </w:rPr>
        <w:lastRenderedPageBreak/>
        <w:t>oprávněné poskytovat individuální pedagogickou nebo speciálněpedagogickou péči i mimo vyučování v rámci školy. Vzniká potřeba zařazení dalšího pedagogického pracovníka nejen na dobu výuky odpovídající učebnímu plánu žáka, ale i na umožnění účasti žáka na dalších školních aktivitách souvisejících se vzděláváním (školní družina, zájmové kroužky apod.).</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V případě potřeby (z důvodu zdravotního stavu žáka a na doporučení lékaře) se využívá individuální výuka v domácím prostředí zajišťovaná pedagogy školy, případně pracovníkem SPC. Další formou vzdělávání žáků v tomto stupni podpory je vzdělávání žáků s hlubokým mentálním postižením, které v souladu s ustanovením § 32 ŠZ zprostředkovává příslušný krajský úřad (odbor školství).</w:t>
      </w:r>
    </w:p>
    <w:p w:rsidR="00425A17" w:rsidRDefault="00425A17" w:rsidP="00425A17">
      <w:pPr>
        <w:pStyle w:val="Normlnweb"/>
        <w:shd w:val="clear" w:color="auto" w:fill="FFFFFF"/>
        <w:rPr>
          <w:rFonts w:ascii="inherit" w:hAnsi="inherit" w:cs="Helvetica"/>
          <w:color w:val="000000"/>
          <w:sz w:val="20"/>
          <w:szCs w:val="20"/>
        </w:rPr>
      </w:pPr>
      <w:r>
        <w:rPr>
          <w:rFonts w:ascii="inherit" w:hAnsi="inherit" w:cs="Helvetica"/>
          <w:color w:val="000000"/>
          <w:sz w:val="20"/>
          <w:szCs w:val="20"/>
        </w:rPr>
        <w:t>Podpůrná opatření v 5. stupni vycházejí vždy z doporučení ŠPZ a zahrnují i efektivní podpůrná opatření z 1.–4. stupně podpory. Škole vzdělávající žáka ve stupni podpory ٥ náleží navýšení finančních prostředků ze státního rozpočtu odpovídající potřebám žáka. Tato finanční podpora umožňuje individuální vzdělávání žáka v rozsahu 6–8 hodin týdně nebo vzdělávání skupiny žáků s SVP v počtu ٤–6 žáků.</w:t>
      </w:r>
    </w:p>
    <w:p w:rsidR="00425A17" w:rsidRDefault="00425A17" w:rsidP="00425A17">
      <w:pPr>
        <w:pStyle w:val="Normlnweb"/>
        <w:shd w:val="clear" w:color="auto" w:fill="FFFFFF"/>
        <w:spacing w:before="0" w:beforeAutospacing="0" w:after="0" w:afterAutospacing="0"/>
        <w:rPr>
          <w:rFonts w:ascii="inherit" w:hAnsi="inherit" w:cs="Helvetica"/>
          <w:color w:val="000000"/>
          <w:sz w:val="20"/>
          <w:szCs w:val="20"/>
        </w:rPr>
      </w:pPr>
      <w:r>
        <w:rPr>
          <w:rFonts w:ascii="inherit" w:hAnsi="inherit" w:cs="Helvetica"/>
          <w:color w:val="000000"/>
          <w:sz w:val="20"/>
          <w:szCs w:val="20"/>
        </w:rPr>
        <w:t>Vzdělávání každého konkrétního žáka (tím spíše žáka s SVP) je procesem určovaným velkou množinou proměnných, do vysoké míry závislých na konkrétních podmínkách daných časem i místem vzdělávání (druh a stupeň školy, počet žáků ve třídě, skladba konkrétní třídy, erudice vyučujícího, materiální podmínky školy apod.). Nebylo by proto účelné parametry výše uvedených stupňů vnímat striktně a rigidně. Obligatornost podpůrných opatření v jednotlivých stupních musí umožňovat respektování všech činitelů, které jejich využívání doprovázejí. Tato zdánlivá volnost s sebou nese zvýšené nároky na odpovědnost poradenských pracovníků, kteří daná podpůrná opatření doporučují.</w:t>
      </w:r>
    </w:p>
    <w:p w:rsidR="00425A17" w:rsidRDefault="00425A17"/>
    <w:sectPr w:rsidR="00425A17" w:rsidSect="009C7340">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78F6"/>
    <w:multiLevelType w:val="multilevel"/>
    <w:tmpl w:val="70C2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C6406"/>
    <w:multiLevelType w:val="multilevel"/>
    <w:tmpl w:val="2C16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6B454E"/>
    <w:multiLevelType w:val="multilevel"/>
    <w:tmpl w:val="E592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compat/>
  <w:rsids>
    <w:rsidRoot w:val="00425A17"/>
    <w:rsid w:val="000B37F1"/>
    <w:rsid w:val="00200416"/>
    <w:rsid w:val="002B6076"/>
    <w:rsid w:val="00425A17"/>
    <w:rsid w:val="00746410"/>
    <w:rsid w:val="009C7340"/>
    <w:rsid w:val="00B67123"/>
    <w:rsid w:val="00CB1FCC"/>
    <w:rsid w:val="00CD7E99"/>
    <w:rsid w:val="00FA5A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cs-CZ"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5A5A"/>
  </w:style>
  <w:style w:type="paragraph" w:styleId="Nadpis1">
    <w:name w:val="heading 1"/>
    <w:basedOn w:val="Normln"/>
    <w:next w:val="Normln"/>
    <w:link w:val="Nadpis1Char"/>
    <w:uiPriority w:val="9"/>
    <w:qFormat/>
    <w:rsid w:val="00425A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425A1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next w:val="Normln"/>
    <w:link w:val="Nadpis5Char"/>
    <w:uiPriority w:val="9"/>
    <w:semiHidden/>
    <w:unhideWhenUsed/>
    <w:qFormat/>
    <w:rsid w:val="00425A1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5A5A"/>
    <w:pPr>
      <w:ind w:left="720"/>
      <w:contextualSpacing/>
    </w:pPr>
  </w:style>
  <w:style w:type="character" w:customStyle="1" w:styleId="Nadpis2Char">
    <w:name w:val="Nadpis 2 Char"/>
    <w:basedOn w:val="Standardnpsmoodstavce"/>
    <w:link w:val="Nadpis2"/>
    <w:uiPriority w:val="9"/>
    <w:rsid w:val="00425A17"/>
    <w:rPr>
      <w:rFonts w:ascii="Times New Roman" w:eastAsia="Times New Roman" w:hAnsi="Times New Roman" w:cs="Times New Roman"/>
      <w:b/>
      <w:bCs/>
      <w:sz w:val="36"/>
      <w:szCs w:val="36"/>
      <w:lang w:eastAsia="cs-CZ"/>
    </w:rPr>
  </w:style>
  <w:style w:type="paragraph" w:customStyle="1" w:styleId="article-perex">
    <w:name w:val="article-perex"/>
    <w:basedOn w:val="Normln"/>
    <w:rsid w:val="00425A17"/>
    <w:pPr>
      <w:spacing w:before="100" w:beforeAutospacing="1" w:after="100" w:afterAutospacing="1" w:line="240" w:lineRule="auto"/>
    </w:pPr>
    <w:rPr>
      <w:rFonts w:ascii="Times New Roman" w:eastAsia="Times New Roman" w:hAnsi="Times New Roman" w:cs="Times New Roman"/>
      <w:lang w:eastAsia="cs-CZ"/>
    </w:rPr>
  </w:style>
  <w:style w:type="paragraph" w:styleId="Normlnweb">
    <w:name w:val="Normal (Web)"/>
    <w:basedOn w:val="Normln"/>
    <w:uiPriority w:val="99"/>
    <w:semiHidden/>
    <w:unhideWhenUsed/>
    <w:rsid w:val="00425A17"/>
    <w:pPr>
      <w:spacing w:before="100" w:beforeAutospacing="1" w:after="100" w:afterAutospacing="1" w:line="240" w:lineRule="auto"/>
    </w:pPr>
    <w:rPr>
      <w:rFonts w:ascii="Times New Roman" w:eastAsia="Times New Roman" w:hAnsi="Times New Roman" w:cs="Times New Roman"/>
      <w:lang w:eastAsia="cs-CZ"/>
    </w:rPr>
  </w:style>
  <w:style w:type="character" w:styleId="Siln">
    <w:name w:val="Strong"/>
    <w:basedOn w:val="Standardnpsmoodstavce"/>
    <w:uiPriority w:val="22"/>
    <w:qFormat/>
    <w:rsid w:val="00425A17"/>
    <w:rPr>
      <w:b/>
      <w:bCs/>
    </w:rPr>
  </w:style>
  <w:style w:type="character" w:customStyle="1" w:styleId="apple-converted-space">
    <w:name w:val="apple-converted-space"/>
    <w:basedOn w:val="Standardnpsmoodstavce"/>
    <w:rsid w:val="00425A17"/>
  </w:style>
  <w:style w:type="character" w:customStyle="1" w:styleId="Nadpis5Char">
    <w:name w:val="Nadpis 5 Char"/>
    <w:basedOn w:val="Standardnpsmoodstavce"/>
    <w:link w:val="Nadpis5"/>
    <w:uiPriority w:val="9"/>
    <w:semiHidden/>
    <w:rsid w:val="00425A17"/>
    <w:rPr>
      <w:rFonts w:asciiTheme="majorHAnsi" w:eastAsiaTheme="majorEastAsia" w:hAnsiTheme="majorHAnsi" w:cstheme="majorBidi"/>
      <w:color w:val="243F60" w:themeColor="accent1" w:themeShade="7F"/>
    </w:rPr>
  </w:style>
  <w:style w:type="character" w:styleId="Hypertextovodkaz">
    <w:name w:val="Hyperlink"/>
    <w:basedOn w:val="Standardnpsmoodstavce"/>
    <w:uiPriority w:val="99"/>
    <w:semiHidden/>
    <w:unhideWhenUsed/>
    <w:rsid w:val="00425A17"/>
    <w:rPr>
      <w:color w:val="0000FF"/>
      <w:u w:val="single"/>
    </w:rPr>
  </w:style>
  <w:style w:type="character" w:styleId="Zvraznn">
    <w:name w:val="Emphasis"/>
    <w:basedOn w:val="Standardnpsmoodstavce"/>
    <w:uiPriority w:val="20"/>
    <w:qFormat/>
    <w:rsid w:val="00425A17"/>
    <w:rPr>
      <w:i/>
      <w:iCs/>
    </w:rPr>
  </w:style>
  <w:style w:type="character" w:customStyle="1" w:styleId="Nadpis1Char">
    <w:name w:val="Nadpis 1 Char"/>
    <w:basedOn w:val="Standardnpsmoodstavce"/>
    <w:link w:val="Nadpis1"/>
    <w:uiPriority w:val="9"/>
    <w:rsid w:val="00425A1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29176525">
      <w:bodyDiv w:val="1"/>
      <w:marLeft w:val="0"/>
      <w:marRight w:val="0"/>
      <w:marTop w:val="0"/>
      <w:marBottom w:val="0"/>
      <w:divBdr>
        <w:top w:val="none" w:sz="0" w:space="0" w:color="auto"/>
        <w:left w:val="none" w:sz="0" w:space="0" w:color="auto"/>
        <w:bottom w:val="none" w:sz="0" w:space="0" w:color="auto"/>
        <w:right w:val="none" w:sz="0" w:space="0" w:color="auto"/>
      </w:divBdr>
    </w:div>
    <w:div w:id="1080519754">
      <w:bodyDiv w:val="1"/>
      <w:marLeft w:val="0"/>
      <w:marRight w:val="0"/>
      <w:marTop w:val="0"/>
      <w:marBottom w:val="0"/>
      <w:divBdr>
        <w:top w:val="none" w:sz="0" w:space="0" w:color="auto"/>
        <w:left w:val="none" w:sz="0" w:space="0" w:color="auto"/>
        <w:bottom w:val="none" w:sz="0" w:space="0" w:color="auto"/>
        <w:right w:val="none" w:sz="0" w:space="0" w:color="auto"/>
      </w:divBdr>
    </w:div>
    <w:div w:id="1170561761">
      <w:bodyDiv w:val="1"/>
      <w:marLeft w:val="0"/>
      <w:marRight w:val="0"/>
      <w:marTop w:val="0"/>
      <w:marBottom w:val="0"/>
      <w:divBdr>
        <w:top w:val="none" w:sz="0" w:space="0" w:color="auto"/>
        <w:left w:val="none" w:sz="0" w:space="0" w:color="auto"/>
        <w:bottom w:val="none" w:sz="0" w:space="0" w:color="auto"/>
        <w:right w:val="none" w:sz="0" w:space="0" w:color="auto"/>
      </w:divBdr>
      <w:divsChild>
        <w:div w:id="574365603">
          <w:marLeft w:val="0"/>
          <w:marRight w:val="0"/>
          <w:marTop w:val="0"/>
          <w:marBottom w:val="0"/>
          <w:divBdr>
            <w:top w:val="none" w:sz="0" w:space="0" w:color="auto"/>
            <w:left w:val="none" w:sz="0" w:space="0" w:color="auto"/>
            <w:bottom w:val="none" w:sz="0" w:space="0" w:color="auto"/>
            <w:right w:val="none" w:sz="0" w:space="0" w:color="auto"/>
          </w:divBdr>
        </w:div>
        <w:div w:id="117965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v.cz/t/priplatky" TargetMode="External"/><Relationship Id="rId3" Type="http://schemas.openxmlformats.org/officeDocument/2006/relationships/settings" Target="settings.xml"/><Relationship Id="rId7" Type="http://schemas.openxmlformats.org/officeDocument/2006/relationships/hyperlink" Target="http://www.nuv.cz/t/postup-sko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v.cz/t/cleneni-cinnosti-a-poskytovanych-skolskych-poradenskych" TargetMode="External"/><Relationship Id="rId5" Type="http://schemas.openxmlformats.org/officeDocument/2006/relationships/hyperlink" Target="http://www.nuv.cz/t/charakter-podpory-i-stupen-podpurnych-opatren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3303</Words>
  <Characters>19488</Characters>
  <Application>Microsoft Office Word</Application>
  <DocSecurity>0</DocSecurity>
  <Lines>162</Lines>
  <Paragraphs>45</Paragraphs>
  <ScaleCrop>false</ScaleCrop>
  <Company/>
  <LinksUpToDate>false</LinksUpToDate>
  <CharactersWithSpaces>22746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1</cp:revision>
  <dcterms:created xsi:type="dcterms:W3CDTF">2017-02-18T19:11:00Z</dcterms:created>
  <dcterms:modified xsi:type="dcterms:W3CDTF">2017-02-18T19:24:00Z</dcterms:modified>
</cp:coreProperties>
</file>