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D04C2" w14:textId="77777777" w:rsidR="00C4642F" w:rsidRPr="003F24E8" w:rsidRDefault="00B52A5B" w:rsidP="00C4642F">
      <w:pPr>
        <w:pStyle w:val="Default"/>
        <w:rPr>
          <w:lang w:val="en-GB"/>
        </w:rPr>
      </w:pPr>
      <w:r>
        <w:rPr>
          <w:lang w:val="en-GB"/>
        </w:rPr>
        <w:t xml:space="preserve"> </w:t>
      </w:r>
    </w:p>
    <w:p w14:paraId="54AD04C3" w14:textId="77777777" w:rsidR="00C4642F" w:rsidRPr="003F24E8" w:rsidRDefault="00C4642F" w:rsidP="00C4642F">
      <w:pPr>
        <w:pStyle w:val="Default"/>
        <w:jc w:val="center"/>
        <w:rPr>
          <w:b/>
          <w:bCs/>
          <w:sz w:val="29"/>
          <w:szCs w:val="29"/>
          <w:lang w:val="en-GB"/>
        </w:rPr>
      </w:pPr>
      <w:r w:rsidRPr="003F24E8">
        <w:rPr>
          <w:b/>
          <w:bCs/>
          <w:sz w:val="36"/>
          <w:szCs w:val="36"/>
          <w:lang w:val="en-GB"/>
        </w:rPr>
        <w:t>S</w:t>
      </w:r>
      <w:r w:rsidRPr="003F24E8">
        <w:rPr>
          <w:b/>
          <w:bCs/>
          <w:sz w:val="29"/>
          <w:szCs w:val="29"/>
          <w:lang w:val="en-GB"/>
        </w:rPr>
        <w:t>YLLABUS</w:t>
      </w:r>
    </w:p>
    <w:p w14:paraId="54AD04C4" w14:textId="77777777" w:rsidR="00C4642F" w:rsidRPr="003F24E8" w:rsidRDefault="00C4642F" w:rsidP="00C4642F">
      <w:pPr>
        <w:pStyle w:val="Default"/>
        <w:jc w:val="center"/>
        <w:rPr>
          <w:sz w:val="29"/>
          <w:szCs w:val="29"/>
          <w:lang w:val="en-GB"/>
        </w:rPr>
      </w:pPr>
    </w:p>
    <w:p w14:paraId="54AD04C5" w14:textId="77777777" w:rsidR="00C4642F" w:rsidRPr="003F24E8" w:rsidRDefault="00C4642F" w:rsidP="00C4642F">
      <w:pPr>
        <w:pStyle w:val="Default"/>
        <w:jc w:val="center"/>
        <w:rPr>
          <w:b/>
          <w:bCs/>
          <w:sz w:val="28"/>
          <w:szCs w:val="28"/>
          <w:lang w:val="en-GB"/>
        </w:rPr>
      </w:pPr>
      <w:r w:rsidRPr="003F24E8">
        <w:rPr>
          <w:b/>
          <w:bCs/>
          <w:sz w:val="28"/>
          <w:szCs w:val="28"/>
          <w:lang w:val="en-GB"/>
        </w:rPr>
        <w:t>(AJ34130) Constructing the Book, Reconstructing the Text (Sociologie literárního textu)</w:t>
      </w:r>
    </w:p>
    <w:p w14:paraId="54AD04C6" w14:textId="77777777" w:rsidR="00C4642F" w:rsidRPr="003F24E8" w:rsidRDefault="00C4642F" w:rsidP="00C4642F">
      <w:pPr>
        <w:pStyle w:val="Default"/>
        <w:jc w:val="center"/>
        <w:rPr>
          <w:sz w:val="28"/>
          <w:szCs w:val="28"/>
          <w:lang w:val="en-GB"/>
        </w:rPr>
      </w:pPr>
    </w:p>
    <w:p w14:paraId="54AD04C7" w14:textId="1097AFE4" w:rsidR="00C4642F" w:rsidRDefault="00C4642F" w:rsidP="00C4642F">
      <w:pPr>
        <w:pStyle w:val="Default"/>
        <w:jc w:val="center"/>
        <w:rPr>
          <w:sz w:val="28"/>
          <w:szCs w:val="28"/>
          <w:lang w:val="en-GB"/>
        </w:rPr>
      </w:pPr>
      <w:r w:rsidRPr="003F24E8">
        <w:rPr>
          <w:sz w:val="28"/>
          <w:szCs w:val="28"/>
          <w:lang w:val="en-GB"/>
        </w:rPr>
        <w:t>Spring 201</w:t>
      </w:r>
      <w:r w:rsidR="00DF6C43">
        <w:rPr>
          <w:sz w:val="28"/>
          <w:szCs w:val="28"/>
          <w:lang w:val="en-GB"/>
        </w:rPr>
        <w:t>9</w:t>
      </w:r>
    </w:p>
    <w:p w14:paraId="2643683D" w14:textId="067307E6" w:rsidR="00DF6C43" w:rsidRPr="003F24E8" w:rsidRDefault="00DF6C43" w:rsidP="00C4642F">
      <w:pPr>
        <w:pStyle w:val="Default"/>
        <w:jc w:val="center"/>
        <w:rPr>
          <w:sz w:val="28"/>
          <w:szCs w:val="28"/>
          <w:lang w:val="en-GB"/>
        </w:rPr>
      </w:pPr>
      <w:r>
        <w:rPr>
          <w:sz w:val="28"/>
          <w:szCs w:val="28"/>
          <w:lang w:val="en-GB"/>
        </w:rPr>
        <w:t>G316 (Department Conference Room), 12:00 p.m.</w:t>
      </w:r>
    </w:p>
    <w:p w14:paraId="54AD04C8" w14:textId="77777777" w:rsidR="00C4642F" w:rsidRPr="003F24E8" w:rsidRDefault="00C4642F" w:rsidP="00C4642F">
      <w:pPr>
        <w:pStyle w:val="Default"/>
        <w:jc w:val="center"/>
        <w:rPr>
          <w:sz w:val="28"/>
          <w:szCs w:val="28"/>
          <w:lang w:val="en-GB"/>
        </w:rPr>
      </w:pPr>
    </w:p>
    <w:p w14:paraId="54AD04C9" w14:textId="77777777" w:rsidR="00C4642F" w:rsidRPr="003F24E8" w:rsidRDefault="00C4642F" w:rsidP="00C4642F">
      <w:pPr>
        <w:pStyle w:val="Default"/>
        <w:jc w:val="center"/>
        <w:rPr>
          <w:sz w:val="22"/>
          <w:szCs w:val="22"/>
          <w:lang w:val="en-GB"/>
        </w:rPr>
      </w:pPr>
      <w:r w:rsidRPr="003F24E8">
        <w:rPr>
          <w:sz w:val="22"/>
          <w:szCs w:val="22"/>
          <w:lang w:val="en-GB"/>
        </w:rPr>
        <w:t>doc. Michael Matthew Kaylor, PhD</w:t>
      </w:r>
    </w:p>
    <w:p w14:paraId="54AD04CA" w14:textId="5478647F" w:rsidR="00C4642F" w:rsidRDefault="00C4642F" w:rsidP="00C4642F">
      <w:pPr>
        <w:pStyle w:val="Default"/>
        <w:jc w:val="center"/>
        <w:rPr>
          <w:sz w:val="22"/>
          <w:szCs w:val="22"/>
          <w:lang w:val="en-GB"/>
        </w:rPr>
      </w:pPr>
      <w:r w:rsidRPr="003F24E8">
        <w:rPr>
          <w:sz w:val="22"/>
          <w:szCs w:val="22"/>
          <w:lang w:val="en-GB"/>
        </w:rPr>
        <w:t>Mgr. Tomáš Kačer, PhD.</w:t>
      </w:r>
    </w:p>
    <w:p w14:paraId="29B42C76" w14:textId="122D838A" w:rsidR="00162753" w:rsidRDefault="00162753" w:rsidP="00C4642F">
      <w:pPr>
        <w:pStyle w:val="Default"/>
        <w:jc w:val="center"/>
        <w:rPr>
          <w:sz w:val="22"/>
          <w:szCs w:val="22"/>
          <w:lang w:val="en-GB"/>
        </w:rPr>
      </w:pPr>
    </w:p>
    <w:p w14:paraId="54AD04CC" w14:textId="77777777" w:rsidR="00C4642F" w:rsidRPr="003F24E8" w:rsidRDefault="00C4642F" w:rsidP="00C4642F">
      <w:pPr>
        <w:pStyle w:val="Default"/>
        <w:jc w:val="center"/>
        <w:rPr>
          <w:sz w:val="22"/>
          <w:szCs w:val="22"/>
          <w:lang w:val="en-GB"/>
        </w:rPr>
      </w:pPr>
      <w:bookmarkStart w:id="0" w:name="_GoBack"/>
      <w:bookmarkEnd w:id="0"/>
    </w:p>
    <w:p w14:paraId="54AD04CD" w14:textId="77777777" w:rsidR="00C4642F" w:rsidRPr="003F24E8" w:rsidRDefault="00C4642F" w:rsidP="00C4642F">
      <w:pPr>
        <w:pStyle w:val="Default"/>
        <w:jc w:val="center"/>
        <w:rPr>
          <w:sz w:val="22"/>
          <w:szCs w:val="22"/>
          <w:lang w:val="en-GB"/>
        </w:rPr>
      </w:pPr>
    </w:p>
    <w:p w14:paraId="54AD04CE" w14:textId="0602A4A7" w:rsidR="00C4642F" w:rsidRPr="003F24E8" w:rsidRDefault="00C4642F" w:rsidP="00520456">
      <w:pPr>
        <w:pStyle w:val="Default"/>
        <w:spacing w:after="240"/>
        <w:jc w:val="both"/>
        <w:rPr>
          <w:sz w:val="22"/>
          <w:szCs w:val="22"/>
          <w:lang w:val="en-GB"/>
        </w:rPr>
      </w:pPr>
      <w:r w:rsidRPr="003F24E8">
        <w:rPr>
          <w:b/>
          <w:bCs/>
          <w:sz w:val="22"/>
          <w:szCs w:val="22"/>
          <w:lang w:val="en-GB"/>
        </w:rPr>
        <w:t xml:space="preserve">Friday, March </w:t>
      </w:r>
      <w:r w:rsidR="00DF6C43">
        <w:rPr>
          <w:b/>
          <w:bCs/>
          <w:sz w:val="22"/>
          <w:szCs w:val="22"/>
          <w:lang w:val="en-GB"/>
        </w:rPr>
        <w:t>1</w:t>
      </w:r>
      <w:r w:rsidR="00DF6C43" w:rsidRPr="00DF6C43">
        <w:rPr>
          <w:b/>
          <w:bCs/>
          <w:sz w:val="22"/>
          <w:szCs w:val="22"/>
          <w:vertAlign w:val="superscript"/>
          <w:lang w:val="en-GB"/>
        </w:rPr>
        <w:t>st</w:t>
      </w:r>
      <w:r w:rsidRPr="003F24E8">
        <w:rPr>
          <w:b/>
          <w:bCs/>
          <w:sz w:val="22"/>
          <w:szCs w:val="22"/>
          <w:lang w:val="en-GB"/>
        </w:rPr>
        <w:t xml:space="preserve">: </w:t>
      </w:r>
      <w:r w:rsidR="003F24E8" w:rsidRPr="003F24E8">
        <w:rPr>
          <w:b/>
          <w:bCs/>
          <w:i/>
          <w:sz w:val="22"/>
          <w:szCs w:val="22"/>
          <w:lang w:val="en-GB"/>
        </w:rPr>
        <w:t>The Rules of Art</w:t>
      </w:r>
      <w:r w:rsidR="003F24E8" w:rsidRPr="003F24E8">
        <w:rPr>
          <w:b/>
          <w:bCs/>
          <w:sz w:val="22"/>
          <w:szCs w:val="22"/>
          <w:lang w:val="en-GB"/>
        </w:rPr>
        <w:t xml:space="preserve"> </w:t>
      </w:r>
    </w:p>
    <w:p w14:paraId="54AD04CF" w14:textId="77777777" w:rsidR="00C4642F" w:rsidRPr="003F24E8" w:rsidRDefault="00C4642F" w:rsidP="00520456">
      <w:pPr>
        <w:pStyle w:val="Default"/>
        <w:spacing w:after="240"/>
        <w:ind w:left="284"/>
        <w:jc w:val="both"/>
        <w:rPr>
          <w:sz w:val="22"/>
          <w:szCs w:val="22"/>
          <w:lang w:val="en-GB"/>
        </w:rPr>
      </w:pPr>
      <w:r w:rsidRPr="003F24E8">
        <w:rPr>
          <w:sz w:val="22"/>
          <w:szCs w:val="22"/>
          <w:lang w:val="en-GB"/>
        </w:rPr>
        <w:t>Read</w:t>
      </w:r>
      <w:r w:rsidR="00520456">
        <w:rPr>
          <w:sz w:val="22"/>
          <w:szCs w:val="22"/>
          <w:lang w:val="en-GB"/>
        </w:rPr>
        <w:t xml:space="preserve"> and see</w:t>
      </w:r>
      <w:r w:rsidRPr="003F24E8">
        <w:rPr>
          <w:sz w:val="22"/>
          <w:szCs w:val="22"/>
          <w:lang w:val="en-GB"/>
        </w:rPr>
        <w:t xml:space="preserve"> the following: </w:t>
      </w:r>
    </w:p>
    <w:p w14:paraId="54AD04D0" w14:textId="77777777" w:rsidR="00520456" w:rsidRDefault="003F24E8" w:rsidP="00520456">
      <w:pPr>
        <w:pStyle w:val="Default"/>
        <w:numPr>
          <w:ilvl w:val="0"/>
          <w:numId w:val="1"/>
        </w:numPr>
        <w:spacing w:before="240" w:after="45"/>
        <w:jc w:val="both"/>
        <w:rPr>
          <w:sz w:val="22"/>
          <w:szCs w:val="22"/>
          <w:lang w:val="en-GB"/>
        </w:rPr>
      </w:pPr>
      <w:r w:rsidRPr="00520456">
        <w:rPr>
          <w:sz w:val="22"/>
          <w:szCs w:val="22"/>
          <w:lang w:val="en-GB"/>
        </w:rPr>
        <w:t xml:space="preserve">Pierre Bourdieu, </w:t>
      </w:r>
      <w:r w:rsidRPr="00520456">
        <w:rPr>
          <w:i/>
          <w:sz w:val="22"/>
          <w:szCs w:val="22"/>
          <w:lang w:val="en-GB"/>
        </w:rPr>
        <w:t>The Rules of Art</w:t>
      </w:r>
      <w:r w:rsidR="00520456">
        <w:rPr>
          <w:sz w:val="22"/>
          <w:szCs w:val="22"/>
          <w:lang w:val="en-GB"/>
        </w:rPr>
        <w:t xml:space="preserve"> (Maldon, MA: Polity Press, 1996), </w:t>
      </w:r>
      <w:r w:rsidR="00520456" w:rsidRPr="00520456">
        <w:rPr>
          <w:sz w:val="22"/>
          <w:szCs w:val="22"/>
          <w:lang w:val="en-GB"/>
        </w:rPr>
        <w:t xml:space="preserve">pp. 1-46 </w:t>
      </w:r>
      <w:r w:rsidRPr="00520456">
        <w:rPr>
          <w:sz w:val="22"/>
          <w:szCs w:val="22"/>
          <w:lang w:val="en-GB"/>
        </w:rPr>
        <w:t>(“Prologue”</w:t>
      </w:r>
      <w:r w:rsidR="00520456">
        <w:rPr>
          <w:sz w:val="22"/>
          <w:szCs w:val="22"/>
          <w:lang w:val="en-GB"/>
        </w:rPr>
        <w:t>);</w:t>
      </w:r>
      <w:r w:rsidRPr="00520456">
        <w:rPr>
          <w:sz w:val="22"/>
          <w:szCs w:val="22"/>
          <w:lang w:val="en-GB"/>
        </w:rPr>
        <w:t xml:space="preserve"> pp. 47-173</w:t>
      </w:r>
      <w:r w:rsidR="00520456">
        <w:rPr>
          <w:sz w:val="22"/>
          <w:szCs w:val="22"/>
          <w:lang w:val="en-GB"/>
        </w:rPr>
        <w:t xml:space="preserve"> (</w:t>
      </w:r>
      <w:r w:rsidR="00520456" w:rsidRPr="00520456">
        <w:rPr>
          <w:sz w:val="22"/>
          <w:szCs w:val="22"/>
          <w:lang w:val="en-GB"/>
        </w:rPr>
        <w:t>“Part I”</w:t>
      </w:r>
      <w:r w:rsidR="00520456">
        <w:rPr>
          <w:sz w:val="22"/>
          <w:szCs w:val="22"/>
          <w:lang w:val="en-GB"/>
        </w:rPr>
        <w:t>)</w:t>
      </w:r>
    </w:p>
    <w:p w14:paraId="54AD04D1" w14:textId="6AC798DA" w:rsidR="003F24E8" w:rsidRPr="00520456" w:rsidRDefault="003F24E8" w:rsidP="00520456">
      <w:pPr>
        <w:pStyle w:val="Default"/>
        <w:numPr>
          <w:ilvl w:val="0"/>
          <w:numId w:val="1"/>
        </w:numPr>
        <w:spacing w:after="45"/>
        <w:jc w:val="both"/>
        <w:rPr>
          <w:sz w:val="22"/>
          <w:szCs w:val="22"/>
          <w:lang w:val="en-GB"/>
        </w:rPr>
      </w:pPr>
      <w:r w:rsidRPr="00520456">
        <w:rPr>
          <w:i/>
          <w:sz w:val="22"/>
          <w:szCs w:val="22"/>
          <w:lang w:val="en-GB"/>
        </w:rPr>
        <w:t>Genius</w:t>
      </w:r>
      <w:r w:rsidRPr="00520456">
        <w:rPr>
          <w:sz w:val="22"/>
          <w:szCs w:val="22"/>
          <w:lang w:val="en-GB"/>
        </w:rPr>
        <w:t xml:space="preserve"> (2016), dir. M. Grandage</w:t>
      </w:r>
      <w:r w:rsidR="00DF6C43">
        <w:rPr>
          <w:sz w:val="22"/>
          <w:szCs w:val="22"/>
          <w:lang w:val="en-GB"/>
        </w:rPr>
        <w:t xml:space="preserve"> (just for the fun of it)</w:t>
      </w:r>
    </w:p>
    <w:p w14:paraId="54AD04D2" w14:textId="77777777" w:rsidR="00520456" w:rsidRPr="003F24E8" w:rsidRDefault="00520456" w:rsidP="00520456">
      <w:pPr>
        <w:pStyle w:val="Default"/>
        <w:spacing w:before="240" w:after="45"/>
        <w:jc w:val="both"/>
        <w:rPr>
          <w:sz w:val="22"/>
          <w:szCs w:val="22"/>
          <w:lang w:val="en-GB"/>
        </w:rPr>
      </w:pPr>
    </w:p>
    <w:p w14:paraId="54AD04D3" w14:textId="77777777" w:rsidR="00C4642F" w:rsidRPr="003F24E8" w:rsidRDefault="00C4642F" w:rsidP="00520456">
      <w:pPr>
        <w:pStyle w:val="Default"/>
        <w:jc w:val="both"/>
        <w:rPr>
          <w:sz w:val="22"/>
          <w:szCs w:val="22"/>
          <w:lang w:val="en-GB"/>
        </w:rPr>
      </w:pPr>
      <w:r w:rsidRPr="003F24E8">
        <w:rPr>
          <w:sz w:val="22"/>
          <w:szCs w:val="22"/>
          <w:lang w:val="en-GB"/>
        </w:rPr>
        <w:t xml:space="preserve"> </w:t>
      </w:r>
    </w:p>
    <w:p w14:paraId="54AD04D4" w14:textId="2E734095" w:rsidR="00C4642F" w:rsidRPr="003F24E8" w:rsidRDefault="00C4642F" w:rsidP="00520456">
      <w:pPr>
        <w:pStyle w:val="Default"/>
        <w:spacing w:after="240"/>
        <w:jc w:val="both"/>
        <w:rPr>
          <w:sz w:val="22"/>
          <w:szCs w:val="22"/>
          <w:lang w:val="en-GB"/>
        </w:rPr>
      </w:pPr>
      <w:r w:rsidRPr="003F24E8">
        <w:rPr>
          <w:b/>
          <w:bCs/>
          <w:sz w:val="22"/>
          <w:szCs w:val="22"/>
          <w:lang w:val="en-GB"/>
        </w:rPr>
        <w:t xml:space="preserve">Friday, March </w:t>
      </w:r>
      <w:r w:rsidR="00DF6C43">
        <w:rPr>
          <w:b/>
          <w:bCs/>
          <w:sz w:val="22"/>
          <w:szCs w:val="22"/>
          <w:lang w:val="en-GB"/>
        </w:rPr>
        <w:t>15</w:t>
      </w:r>
      <w:r w:rsidR="00DF6C43" w:rsidRPr="00DF6C43">
        <w:rPr>
          <w:b/>
          <w:bCs/>
          <w:sz w:val="22"/>
          <w:szCs w:val="22"/>
          <w:vertAlign w:val="superscript"/>
          <w:lang w:val="en-GB"/>
        </w:rPr>
        <w:t>th</w:t>
      </w:r>
      <w:r w:rsidRPr="003F24E8">
        <w:rPr>
          <w:b/>
          <w:bCs/>
          <w:sz w:val="22"/>
          <w:szCs w:val="22"/>
          <w:lang w:val="en-GB"/>
        </w:rPr>
        <w:t xml:space="preserve">: </w:t>
      </w:r>
      <w:r w:rsidR="003F24E8">
        <w:rPr>
          <w:b/>
          <w:bCs/>
          <w:sz w:val="22"/>
          <w:szCs w:val="22"/>
          <w:lang w:val="en-GB"/>
        </w:rPr>
        <w:t xml:space="preserve">William Shakespeare’s </w:t>
      </w:r>
      <w:r w:rsidR="003F24E8">
        <w:rPr>
          <w:b/>
          <w:bCs/>
          <w:i/>
          <w:sz w:val="22"/>
          <w:szCs w:val="22"/>
          <w:lang w:val="en-GB"/>
        </w:rPr>
        <w:t>Hamlet</w:t>
      </w:r>
      <w:r w:rsidR="00520456">
        <w:rPr>
          <w:b/>
          <w:bCs/>
          <w:sz w:val="22"/>
          <w:szCs w:val="22"/>
          <w:lang w:val="en-GB"/>
        </w:rPr>
        <w:t xml:space="preserve"> (Q1, Q2 and</w:t>
      </w:r>
      <w:r w:rsidR="003F24E8">
        <w:rPr>
          <w:b/>
          <w:bCs/>
          <w:sz w:val="22"/>
          <w:szCs w:val="22"/>
          <w:lang w:val="en-GB"/>
        </w:rPr>
        <w:t xml:space="preserve"> F</w:t>
      </w:r>
      <w:r w:rsidR="00E33367">
        <w:rPr>
          <w:b/>
          <w:bCs/>
          <w:sz w:val="22"/>
          <w:szCs w:val="22"/>
          <w:lang w:val="en-GB"/>
        </w:rPr>
        <w:t>1</w:t>
      </w:r>
      <w:r w:rsidR="003F24E8">
        <w:rPr>
          <w:b/>
          <w:bCs/>
          <w:sz w:val="22"/>
          <w:szCs w:val="22"/>
          <w:lang w:val="en-GB"/>
        </w:rPr>
        <w:t>)</w:t>
      </w:r>
    </w:p>
    <w:p w14:paraId="54AD04D5" w14:textId="77777777" w:rsidR="00520456" w:rsidRDefault="00E33367" w:rsidP="00520456">
      <w:pPr>
        <w:pStyle w:val="Default"/>
        <w:spacing w:after="240"/>
        <w:ind w:left="284"/>
        <w:jc w:val="both"/>
        <w:rPr>
          <w:sz w:val="22"/>
          <w:szCs w:val="22"/>
          <w:lang w:val="en-GB"/>
        </w:rPr>
      </w:pPr>
      <w:r w:rsidRPr="003F24E8">
        <w:rPr>
          <w:sz w:val="22"/>
          <w:szCs w:val="22"/>
          <w:lang w:val="en-GB"/>
        </w:rPr>
        <w:t xml:space="preserve">Read the following: </w:t>
      </w:r>
    </w:p>
    <w:p w14:paraId="54AD04D6" w14:textId="77777777" w:rsidR="00520456" w:rsidRDefault="00E33367" w:rsidP="00520456">
      <w:pPr>
        <w:pStyle w:val="Default"/>
        <w:numPr>
          <w:ilvl w:val="0"/>
          <w:numId w:val="1"/>
        </w:numPr>
        <w:jc w:val="both"/>
        <w:rPr>
          <w:sz w:val="22"/>
          <w:szCs w:val="22"/>
          <w:lang w:val="en-GB"/>
        </w:rPr>
      </w:pPr>
      <w:r w:rsidRPr="00520456">
        <w:rPr>
          <w:sz w:val="22"/>
          <w:szCs w:val="22"/>
          <w:lang w:val="en-GB"/>
        </w:rPr>
        <w:t xml:space="preserve">John Jowett, </w:t>
      </w:r>
      <w:r w:rsidRPr="00520456">
        <w:rPr>
          <w:i/>
          <w:sz w:val="22"/>
          <w:szCs w:val="22"/>
          <w:lang w:val="en-GB"/>
        </w:rPr>
        <w:t>Shakespeare and Text</w:t>
      </w:r>
      <w:r w:rsidRPr="00520456">
        <w:rPr>
          <w:sz w:val="22"/>
          <w:szCs w:val="22"/>
          <w:lang w:val="en-GB"/>
        </w:rPr>
        <w:t>, Oxford Shakespeare Topics series (Oxford: Oxford University Press, 2007)</w:t>
      </w:r>
    </w:p>
    <w:p w14:paraId="54AD04D7" w14:textId="77777777" w:rsidR="00520456" w:rsidRDefault="00E33367" w:rsidP="00520456">
      <w:pPr>
        <w:pStyle w:val="Default"/>
        <w:numPr>
          <w:ilvl w:val="0"/>
          <w:numId w:val="1"/>
        </w:numPr>
        <w:jc w:val="both"/>
        <w:rPr>
          <w:sz w:val="22"/>
          <w:szCs w:val="22"/>
          <w:lang w:val="en-GB"/>
        </w:rPr>
      </w:pPr>
      <w:r w:rsidRPr="00520456">
        <w:rPr>
          <w:sz w:val="22"/>
          <w:szCs w:val="22"/>
          <w:lang w:val="en-GB"/>
        </w:rPr>
        <w:t>Ann Thompson and Neil Taylor, edited,</w:t>
      </w:r>
      <w:r w:rsidR="0086314A">
        <w:rPr>
          <w:sz w:val="22"/>
          <w:szCs w:val="22"/>
          <w:lang w:val="en-GB"/>
        </w:rPr>
        <w:t xml:space="preserve"> William Shakespeare’s</w:t>
      </w:r>
      <w:r w:rsidRPr="00520456">
        <w:rPr>
          <w:sz w:val="22"/>
          <w:szCs w:val="22"/>
          <w:lang w:val="en-GB"/>
        </w:rPr>
        <w:t xml:space="preserve"> </w:t>
      </w:r>
      <w:r w:rsidRPr="00520456">
        <w:rPr>
          <w:i/>
          <w:sz w:val="22"/>
          <w:szCs w:val="22"/>
          <w:lang w:val="en-GB"/>
        </w:rPr>
        <w:t>Hamlet</w:t>
      </w:r>
      <w:r w:rsidRPr="00520456">
        <w:rPr>
          <w:sz w:val="22"/>
          <w:szCs w:val="22"/>
          <w:lang w:val="en-GB"/>
        </w:rPr>
        <w:t xml:space="preserve">, The Arden Shakespeare, Third Series, pp. 74-94 (“The Composition of </w:t>
      </w:r>
      <w:r w:rsidRPr="00520456">
        <w:rPr>
          <w:i/>
          <w:sz w:val="22"/>
          <w:szCs w:val="22"/>
          <w:lang w:val="en-GB"/>
        </w:rPr>
        <w:t>Hamlet</w:t>
      </w:r>
      <w:r w:rsidRPr="00520456">
        <w:rPr>
          <w:sz w:val="22"/>
          <w:szCs w:val="22"/>
          <w:lang w:val="en-GB"/>
        </w:rPr>
        <w:t xml:space="preserve">”); pp. 139-164 (“1.1” of </w:t>
      </w:r>
      <w:r w:rsidRPr="00520456">
        <w:rPr>
          <w:i/>
          <w:sz w:val="22"/>
          <w:szCs w:val="22"/>
          <w:lang w:val="en-GB"/>
        </w:rPr>
        <w:t>Hamlet</w:t>
      </w:r>
      <w:r w:rsidR="0082570F" w:rsidRPr="00520456">
        <w:rPr>
          <w:sz w:val="22"/>
          <w:szCs w:val="22"/>
          <w:lang w:val="en-GB"/>
        </w:rPr>
        <w:t xml:space="preserve"> Q2 (1604-5)</w:t>
      </w:r>
      <w:r w:rsidRPr="00520456">
        <w:rPr>
          <w:sz w:val="22"/>
          <w:szCs w:val="22"/>
          <w:lang w:val="en-GB"/>
        </w:rPr>
        <w:t>)</w:t>
      </w:r>
    </w:p>
    <w:p w14:paraId="54AD04D8" w14:textId="77777777" w:rsidR="00E33367" w:rsidRDefault="00E33367" w:rsidP="00520456">
      <w:pPr>
        <w:pStyle w:val="Default"/>
        <w:numPr>
          <w:ilvl w:val="0"/>
          <w:numId w:val="1"/>
        </w:numPr>
        <w:jc w:val="both"/>
        <w:rPr>
          <w:sz w:val="22"/>
          <w:szCs w:val="22"/>
          <w:lang w:val="en-GB"/>
        </w:rPr>
      </w:pPr>
      <w:r w:rsidRPr="00520456">
        <w:rPr>
          <w:sz w:val="22"/>
          <w:szCs w:val="22"/>
          <w:lang w:val="en-GB"/>
        </w:rPr>
        <w:t xml:space="preserve">Ann Thompson and Neil Taylor, edited, </w:t>
      </w:r>
      <w:r w:rsidR="0086314A" w:rsidRPr="0086314A">
        <w:rPr>
          <w:sz w:val="22"/>
          <w:szCs w:val="22"/>
          <w:lang w:val="en-GB"/>
        </w:rPr>
        <w:t>William Shakespeare’s</w:t>
      </w:r>
      <w:r w:rsidR="0086314A" w:rsidRPr="0086314A">
        <w:rPr>
          <w:i/>
          <w:sz w:val="22"/>
          <w:szCs w:val="22"/>
          <w:lang w:val="en-GB"/>
        </w:rPr>
        <w:t xml:space="preserve"> </w:t>
      </w:r>
      <w:r w:rsidRPr="00520456">
        <w:rPr>
          <w:i/>
          <w:sz w:val="22"/>
          <w:szCs w:val="22"/>
          <w:lang w:val="en-GB"/>
        </w:rPr>
        <w:t>Hamlet, the Texts of 1603 and 1623</w:t>
      </w:r>
      <w:r w:rsidRPr="00520456">
        <w:rPr>
          <w:sz w:val="22"/>
          <w:szCs w:val="22"/>
          <w:lang w:val="en-GB"/>
        </w:rPr>
        <w:t xml:space="preserve">, The Arden Shakespeare, Third Series, pp. 1-12 (“The relationship of this volume to the Arden </w:t>
      </w:r>
      <w:r w:rsidRPr="00520456">
        <w:rPr>
          <w:i/>
          <w:sz w:val="22"/>
          <w:szCs w:val="22"/>
          <w:lang w:val="en-GB"/>
        </w:rPr>
        <w:t>Hamlet</w:t>
      </w:r>
      <w:r w:rsidRPr="00520456">
        <w:rPr>
          <w:sz w:val="22"/>
          <w:szCs w:val="22"/>
          <w:lang w:val="en-GB"/>
        </w:rPr>
        <w:t xml:space="preserve">”); pp. 41-53 (“Scene 1” of </w:t>
      </w:r>
      <w:r w:rsidRPr="00520456">
        <w:rPr>
          <w:i/>
          <w:sz w:val="22"/>
          <w:szCs w:val="22"/>
          <w:lang w:val="en-GB"/>
        </w:rPr>
        <w:t>Hamlet</w:t>
      </w:r>
      <w:r w:rsidRPr="00520456">
        <w:rPr>
          <w:sz w:val="22"/>
          <w:szCs w:val="22"/>
          <w:lang w:val="en-GB"/>
        </w:rPr>
        <w:t xml:space="preserve"> Q1 (1603)); pp. 173-185 (“1.1” of </w:t>
      </w:r>
      <w:r w:rsidRPr="00520456">
        <w:rPr>
          <w:i/>
          <w:sz w:val="22"/>
          <w:szCs w:val="22"/>
          <w:lang w:val="en-GB"/>
        </w:rPr>
        <w:t xml:space="preserve">Hamlet </w:t>
      </w:r>
      <w:r w:rsidRPr="00520456">
        <w:rPr>
          <w:sz w:val="22"/>
          <w:szCs w:val="22"/>
          <w:lang w:val="en-GB"/>
        </w:rPr>
        <w:t>F1 (1623))</w:t>
      </w:r>
    </w:p>
    <w:p w14:paraId="54AD04D9" w14:textId="77777777" w:rsidR="0086314A" w:rsidRPr="00520456" w:rsidRDefault="0086314A" w:rsidP="00520456">
      <w:pPr>
        <w:pStyle w:val="Default"/>
        <w:numPr>
          <w:ilvl w:val="0"/>
          <w:numId w:val="1"/>
        </w:numPr>
        <w:jc w:val="both"/>
        <w:rPr>
          <w:sz w:val="22"/>
          <w:szCs w:val="22"/>
          <w:lang w:val="en-GB"/>
        </w:rPr>
      </w:pPr>
      <w:r>
        <w:rPr>
          <w:sz w:val="22"/>
          <w:szCs w:val="22"/>
          <w:lang w:val="en-GB"/>
        </w:rPr>
        <w:t xml:space="preserve">Recommended: Bruce R. Smith, editor, </w:t>
      </w:r>
      <w:r>
        <w:rPr>
          <w:i/>
          <w:sz w:val="22"/>
          <w:szCs w:val="22"/>
          <w:lang w:val="en-GB"/>
        </w:rPr>
        <w:t>The Cambridge Guide to the World of Shakespeare, vol. 1</w:t>
      </w:r>
      <w:r>
        <w:rPr>
          <w:sz w:val="22"/>
          <w:szCs w:val="22"/>
          <w:lang w:val="en-GB"/>
        </w:rPr>
        <w:t xml:space="preserve"> (Cambridge: CUP 2016), pp. 323-373 (“Printing, Publishing, Textuality”)</w:t>
      </w:r>
    </w:p>
    <w:p w14:paraId="54AD04DA" w14:textId="77777777" w:rsidR="003F24E8" w:rsidRDefault="003F24E8" w:rsidP="00520456">
      <w:pPr>
        <w:pStyle w:val="Default"/>
        <w:spacing w:after="240"/>
        <w:jc w:val="both"/>
        <w:rPr>
          <w:sz w:val="22"/>
          <w:szCs w:val="22"/>
          <w:lang w:val="en-GB"/>
        </w:rPr>
      </w:pPr>
    </w:p>
    <w:p w14:paraId="54AD04DB" w14:textId="77777777" w:rsidR="00520456" w:rsidRPr="003F24E8" w:rsidRDefault="00520456" w:rsidP="00520456">
      <w:pPr>
        <w:pStyle w:val="Default"/>
        <w:spacing w:after="240"/>
        <w:jc w:val="both"/>
        <w:rPr>
          <w:sz w:val="22"/>
          <w:szCs w:val="22"/>
          <w:lang w:val="en-GB"/>
        </w:rPr>
      </w:pPr>
    </w:p>
    <w:p w14:paraId="54AD04DC" w14:textId="5D5A0B10" w:rsidR="003F24E8" w:rsidRPr="003F24E8" w:rsidRDefault="00C4642F" w:rsidP="00520456">
      <w:pPr>
        <w:pStyle w:val="Default"/>
        <w:spacing w:after="240"/>
        <w:jc w:val="both"/>
        <w:rPr>
          <w:sz w:val="22"/>
          <w:szCs w:val="22"/>
          <w:lang w:val="en-GB"/>
        </w:rPr>
      </w:pPr>
      <w:r w:rsidRPr="003F24E8">
        <w:rPr>
          <w:b/>
          <w:bCs/>
          <w:sz w:val="22"/>
          <w:szCs w:val="22"/>
          <w:lang w:val="en-GB"/>
        </w:rPr>
        <w:t xml:space="preserve">Friday, </w:t>
      </w:r>
      <w:r w:rsidR="003F24E8">
        <w:rPr>
          <w:b/>
          <w:bCs/>
          <w:sz w:val="22"/>
          <w:szCs w:val="22"/>
          <w:lang w:val="en-GB"/>
        </w:rPr>
        <w:t xml:space="preserve">March </w:t>
      </w:r>
      <w:r w:rsidR="00DF6C43">
        <w:rPr>
          <w:b/>
          <w:bCs/>
          <w:sz w:val="22"/>
          <w:szCs w:val="22"/>
          <w:lang w:val="en-GB"/>
        </w:rPr>
        <w:t>29</w:t>
      </w:r>
      <w:r w:rsidR="00DF6C43" w:rsidRPr="00DF6C43">
        <w:rPr>
          <w:b/>
          <w:bCs/>
          <w:sz w:val="22"/>
          <w:szCs w:val="22"/>
          <w:vertAlign w:val="superscript"/>
          <w:lang w:val="en-GB"/>
        </w:rPr>
        <w:t>th</w:t>
      </w:r>
      <w:r w:rsidR="00DF6C43">
        <w:rPr>
          <w:b/>
          <w:bCs/>
          <w:sz w:val="22"/>
          <w:szCs w:val="22"/>
          <w:lang w:val="en-GB"/>
        </w:rPr>
        <w:t xml:space="preserve">: </w:t>
      </w:r>
      <w:r w:rsidR="003F24E8" w:rsidRPr="003F24E8">
        <w:rPr>
          <w:b/>
          <w:bCs/>
          <w:sz w:val="22"/>
          <w:szCs w:val="22"/>
          <w:lang w:val="en-GB"/>
        </w:rPr>
        <w:t xml:space="preserve">John Keats’s “The Eve of St. Agnes” and Gerard Manley Hopkins’s “Windhover” </w:t>
      </w:r>
    </w:p>
    <w:p w14:paraId="54AD04DD" w14:textId="77777777" w:rsidR="00520456" w:rsidRDefault="003F24E8" w:rsidP="00520456">
      <w:pPr>
        <w:pStyle w:val="Default"/>
        <w:spacing w:after="240"/>
        <w:ind w:left="284"/>
        <w:jc w:val="both"/>
        <w:rPr>
          <w:sz w:val="22"/>
          <w:szCs w:val="22"/>
          <w:lang w:val="en-GB"/>
        </w:rPr>
      </w:pPr>
      <w:r w:rsidRPr="003F24E8">
        <w:rPr>
          <w:sz w:val="22"/>
          <w:szCs w:val="22"/>
          <w:lang w:val="en-GB"/>
        </w:rPr>
        <w:t xml:space="preserve">Read the following: </w:t>
      </w:r>
    </w:p>
    <w:p w14:paraId="54AD04DE" w14:textId="77777777" w:rsidR="00520456" w:rsidRDefault="003F24E8" w:rsidP="00520456">
      <w:pPr>
        <w:pStyle w:val="Default"/>
        <w:numPr>
          <w:ilvl w:val="0"/>
          <w:numId w:val="2"/>
        </w:numPr>
        <w:jc w:val="both"/>
        <w:rPr>
          <w:sz w:val="22"/>
          <w:szCs w:val="22"/>
          <w:lang w:val="en-GB"/>
        </w:rPr>
      </w:pPr>
      <w:r w:rsidRPr="00520456">
        <w:rPr>
          <w:sz w:val="22"/>
          <w:szCs w:val="22"/>
          <w:lang w:val="en-GB"/>
        </w:rPr>
        <w:t xml:space="preserve">Elizabeth Cook, </w:t>
      </w:r>
      <w:r w:rsidRPr="00520456">
        <w:rPr>
          <w:i/>
          <w:iCs/>
          <w:sz w:val="22"/>
          <w:szCs w:val="22"/>
          <w:lang w:val="en-GB"/>
        </w:rPr>
        <w:t xml:space="preserve">John Keats </w:t>
      </w:r>
      <w:r w:rsidRPr="00520456">
        <w:rPr>
          <w:sz w:val="22"/>
          <w:szCs w:val="22"/>
          <w:lang w:val="en-GB"/>
        </w:rPr>
        <w:t xml:space="preserve">(in the </w:t>
      </w:r>
      <w:r w:rsidRPr="00520456">
        <w:rPr>
          <w:i/>
          <w:iCs/>
          <w:sz w:val="22"/>
          <w:szCs w:val="22"/>
          <w:lang w:val="en-GB"/>
        </w:rPr>
        <w:t xml:space="preserve">Oxford Authors </w:t>
      </w:r>
      <w:r w:rsidRPr="00520456">
        <w:rPr>
          <w:sz w:val="22"/>
          <w:szCs w:val="22"/>
          <w:lang w:val="en-GB"/>
        </w:rPr>
        <w:t xml:space="preserve">series) (Oxford: Oxford University Press, 1990), pp. xvii-xxxvi (“Introduction”); 252-264 (“The Eve of St. Agnes”); 273-274 (“La belle dame sans merci”); 595-601 (Notes) </w:t>
      </w:r>
    </w:p>
    <w:p w14:paraId="54AD04DF" w14:textId="77777777" w:rsidR="00520456" w:rsidRDefault="003F24E8" w:rsidP="00520456">
      <w:pPr>
        <w:pStyle w:val="Default"/>
        <w:numPr>
          <w:ilvl w:val="0"/>
          <w:numId w:val="2"/>
        </w:numPr>
        <w:jc w:val="both"/>
        <w:rPr>
          <w:sz w:val="22"/>
          <w:szCs w:val="22"/>
          <w:lang w:val="en-GB"/>
        </w:rPr>
      </w:pPr>
      <w:r w:rsidRPr="00520456">
        <w:rPr>
          <w:sz w:val="22"/>
          <w:szCs w:val="22"/>
          <w:lang w:val="en-GB"/>
        </w:rPr>
        <w:lastRenderedPageBreak/>
        <w:t xml:space="preserve">Jack Stillinger, </w:t>
      </w:r>
      <w:r w:rsidRPr="00520456">
        <w:rPr>
          <w:i/>
          <w:iCs/>
          <w:sz w:val="22"/>
          <w:szCs w:val="22"/>
          <w:lang w:val="en-GB"/>
        </w:rPr>
        <w:t xml:space="preserve">Reading “The Eve of St. Agnes”: The Multiples of Complex Literary Transaction </w:t>
      </w:r>
      <w:r w:rsidRPr="00520456">
        <w:rPr>
          <w:sz w:val="22"/>
          <w:szCs w:val="22"/>
          <w:lang w:val="en-GB"/>
        </w:rPr>
        <w:t xml:space="preserve">(New York and Oxford: Oxford University Press, 1999), pp. 3-33 </w:t>
      </w:r>
    </w:p>
    <w:p w14:paraId="54AD04E0" w14:textId="77777777" w:rsidR="00520456" w:rsidRDefault="003F24E8" w:rsidP="00520456">
      <w:pPr>
        <w:pStyle w:val="Default"/>
        <w:numPr>
          <w:ilvl w:val="0"/>
          <w:numId w:val="2"/>
        </w:numPr>
        <w:jc w:val="both"/>
        <w:rPr>
          <w:sz w:val="22"/>
          <w:szCs w:val="22"/>
          <w:lang w:val="en-GB"/>
        </w:rPr>
      </w:pPr>
      <w:r w:rsidRPr="00520456">
        <w:rPr>
          <w:sz w:val="22"/>
          <w:szCs w:val="22"/>
          <w:lang w:val="en-GB"/>
        </w:rPr>
        <w:t xml:space="preserve">John Pick, edited, </w:t>
      </w:r>
      <w:r w:rsidRPr="00520456">
        <w:rPr>
          <w:i/>
          <w:iCs/>
          <w:sz w:val="22"/>
          <w:szCs w:val="22"/>
          <w:lang w:val="en-GB"/>
        </w:rPr>
        <w:t xml:space="preserve">Gerard Manley Hopkins: The Windhover </w:t>
      </w:r>
      <w:r w:rsidRPr="00520456">
        <w:rPr>
          <w:sz w:val="22"/>
          <w:szCs w:val="22"/>
          <w:lang w:val="en-GB"/>
        </w:rPr>
        <w:t xml:space="preserve">(in the </w:t>
      </w:r>
      <w:r w:rsidRPr="00520456">
        <w:rPr>
          <w:i/>
          <w:iCs/>
          <w:sz w:val="22"/>
          <w:szCs w:val="22"/>
          <w:lang w:val="en-GB"/>
        </w:rPr>
        <w:t>Merrill Literary Casebook Series</w:t>
      </w:r>
      <w:r w:rsidRPr="00520456">
        <w:rPr>
          <w:sz w:val="22"/>
          <w:szCs w:val="22"/>
          <w:lang w:val="en-GB"/>
        </w:rPr>
        <w:t xml:space="preserve">) (Columbus, OH: Charles E. Merrill Publishing, 1969) </w:t>
      </w:r>
    </w:p>
    <w:p w14:paraId="54AD04E1" w14:textId="77777777" w:rsidR="00520456" w:rsidRDefault="003F24E8" w:rsidP="00520456">
      <w:pPr>
        <w:pStyle w:val="Default"/>
        <w:numPr>
          <w:ilvl w:val="0"/>
          <w:numId w:val="2"/>
        </w:numPr>
        <w:jc w:val="both"/>
        <w:rPr>
          <w:sz w:val="22"/>
          <w:szCs w:val="22"/>
          <w:lang w:val="en-GB"/>
        </w:rPr>
      </w:pPr>
      <w:r w:rsidRPr="00520456">
        <w:rPr>
          <w:sz w:val="22"/>
          <w:szCs w:val="22"/>
          <w:lang w:val="en-GB"/>
        </w:rPr>
        <w:t xml:space="preserve">Norman H. MacKenzie, edited, </w:t>
      </w:r>
      <w:r w:rsidRPr="00520456">
        <w:rPr>
          <w:i/>
          <w:iCs/>
          <w:sz w:val="22"/>
          <w:szCs w:val="22"/>
          <w:lang w:val="en-GB"/>
        </w:rPr>
        <w:t xml:space="preserve">The Poetical Works of Gerard Manley Hopkins </w:t>
      </w:r>
      <w:r w:rsidRPr="00520456">
        <w:rPr>
          <w:sz w:val="22"/>
          <w:szCs w:val="22"/>
          <w:lang w:val="en-GB"/>
        </w:rPr>
        <w:t xml:space="preserve">(Oxford: Clarendon Press, 1990), pp. xxv-lxxiv (“Introduction”); 144-147 (“The Windhover” and MS plates 1-3); 376-384 </w:t>
      </w:r>
      <w:r w:rsidR="00520456">
        <w:rPr>
          <w:sz w:val="22"/>
          <w:szCs w:val="22"/>
          <w:lang w:val="en-GB"/>
        </w:rPr>
        <w:t>(Commentary on “The Windhover”)</w:t>
      </w:r>
    </w:p>
    <w:p w14:paraId="54AD04E2" w14:textId="77777777" w:rsidR="003F24E8" w:rsidRDefault="003F24E8" w:rsidP="00520456">
      <w:pPr>
        <w:pStyle w:val="Default"/>
        <w:numPr>
          <w:ilvl w:val="0"/>
          <w:numId w:val="2"/>
        </w:numPr>
        <w:jc w:val="both"/>
        <w:rPr>
          <w:sz w:val="22"/>
          <w:szCs w:val="22"/>
          <w:lang w:val="en-GB"/>
        </w:rPr>
      </w:pPr>
      <w:r w:rsidRPr="00520456">
        <w:rPr>
          <w:sz w:val="22"/>
          <w:szCs w:val="22"/>
          <w:lang w:val="en-GB"/>
        </w:rPr>
        <w:t xml:space="preserve">Norman H. MacKenzie, edited with annotations, transcriptions, and an introduction, </w:t>
      </w:r>
      <w:r w:rsidRPr="00520456">
        <w:rPr>
          <w:i/>
          <w:iCs/>
          <w:sz w:val="22"/>
          <w:szCs w:val="22"/>
          <w:lang w:val="en-GB"/>
        </w:rPr>
        <w:t xml:space="preserve">The Later Poetic Manuscripts of Gerard Manley Hopkins </w:t>
      </w:r>
      <w:r w:rsidRPr="00520456">
        <w:rPr>
          <w:sz w:val="22"/>
          <w:szCs w:val="22"/>
          <w:lang w:val="en-GB"/>
        </w:rPr>
        <w:t xml:space="preserve">(New York and London: Garland Publishing, 1991), pp. 1-20 (“Introduction”); pp. 120-125 </w:t>
      </w:r>
      <w:r w:rsidR="00520456">
        <w:rPr>
          <w:sz w:val="22"/>
          <w:szCs w:val="22"/>
          <w:lang w:val="en-GB"/>
        </w:rPr>
        <w:t>(MS plates for “The Windhover”)</w:t>
      </w:r>
    </w:p>
    <w:p w14:paraId="54AD04E3" w14:textId="77777777" w:rsidR="00C4642F" w:rsidRPr="003F24E8" w:rsidRDefault="00C4642F" w:rsidP="00520456">
      <w:pPr>
        <w:pStyle w:val="Default"/>
        <w:jc w:val="both"/>
        <w:rPr>
          <w:sz w:val="22"/>
          <w:szCs w:val="22"/>
          <w:lang w:val="en-GB"/>
        </w:rPr>
      </w:pPr>
    </w:p>
    <w:p w14:paraId="54AD04E4" w14:textId="77777777" w:rsidR="00C4642F" w:rsidRPr="003F24E8" w:rsidRDefault="00C4642F" w:rsidP="00520456">
      <w:pPr>
        <w:pStyle w:val="Default"/>
        <w:jc w:val="both"/>
        <w:rPr>
          <w:sz w:val="22"/>
          <w:szCs w:val="22"/>
          <w:lang w:val="en-GB"/>
        </w:rPr>
      </w:pPr>
      <w:r w:rsidRPr="003F24E8">
        <w:rPr>
          <w:sz w:val="22"/>
          <w:szCs w:val="22"/>
          <w:lang w:val="en-GB"/>
        </w:rPr>
        <w:t xml:space="preserve">Discussion of the class’s handling of the apparatus for the novella </w:t>
      </w:r>
      <w:r w:rsidRPr="003F24E8">
        <w:rPr>
          <w:i/>
          <w:iCs/>
          <w:sz w:val="22"/>
          <w:szCs w:val="22"/>
          <w:lang w:val="en-GB"/>
        </w:rPr>
        <w:t xml:space="preserve">The Cult of the Purple Rose: A Phase of Harvard Life </w:t>
      </w:r>
      <w:r w:rsidRPr="003F24E8">
        <w:rPr>
          <w:sz w:val="22"/>
          <w:szCs w:val="22"/>
          <w:lang w:val="en-GB"/>
        </w:rPr>
        <w:t xml:space="preserve">(1902) by Shirley Everton Johnson. (For this project, the class will have already been divided into three groups.) </w:t>
      </w:r>
    </w:p>
    <w:p w14:paraId="54AD04E5" w14:textId="77777777" w:rsidR="00520456" w:rsidRDefault="00520456" w:rsidP="00520456">
      <w:pPr>
        <w:pStyle w:val="Default"/>
        <w:jc w:val="both"/>
        <w:rPr>
          <w:b/>
          <w:bCs/>
          <w:sz w:val="22"/>
          <w:szCs w:val="22"/>
          <w:lang w:val="en-GB"/>
        </w:rPr>
      </w:pPr>
    </w:p>
    <w:p w14:paraId="54AD04E6" w14:textId="77777777" w:rsidR="00520456" w:rsidRDefault="00520456" w:rsidP="00520456">
      <w:pPr>
        <w:pStyle w:val="Default"/>
        <w:jc w:val="both"/>
        <w:rPr>
          <w:b/>
          <w:bCs/>
          <w:sz w:val="22"/>
          <w:szCs w:val="22"/>
          <w:lang w:val="en-GB"/>
        </w:rPr>
      </w:pPr>
    </w:p>
    <w:p w14:paraId="54AD04E7" w14:textId="5EF2B439" w:rsidR="00C4642F" w:rsidRPr="003F24E8" w:rsidRDefault="00C4642F" w:rsidP="00520456">
      <w:pPr>
        <w:pStyle w:val="Default"/>
        <w:spacing w:after="240"/>
        <w:jc w:val="both"/>
        <w:rPr>
          <w:sz w:val="22"/>
          <w:szCs w:val="22"/>
          <w:lang w:val="en-GB"/>
        </w:rPr>
      </w:pPr>
      <w:r w:rsidRPr="003F24E8">
        <w:rPr>
          <w:b/>
          <w:bCs/>
          <w:sz w:val="22"/>
          <w:szCs w:val="22"/>
          <w:lang w:val="en-GB"/>
        </w:rPr>
        <w:t xml:space="preserve">Friday, April </w:t>
      </w:r>
      <w:r w:rsidR="00DF6C43">
        <w:rPr>
          <w:b/>
          <w:bCs/>
          <w:sz w:val="22"/>
          <w:szCs w:val="22"/>
          <w:lang w:val="en-GB"/>
        </w:rPr>
        <w:t>12</w:t>
      </w:r>
      <w:r w:rsidR="00DF6C43" w:rsidRPr="00DF6C43">
        <w:rPr>
          <w:b/>
          <w:bCs/>
          <w:sz w:val="22"/>
          <w:szCs w:val="22"/>
          <w:vertAlign w:val="superscript"/>
          <w:lang w:val="en-GB"/>
        </w:rPr>
        <w:t>th</w:t>
      </w:r>
      <w:r w:rsidRPr="003F24E8">
        <w:rPr>
          <w:b/>
          <w:bCs/>
          <w:sz w:val="22"/>
          <w:szCs w:val="22"/>
          <w:lang w:val="en-GB"/>
        </w:rPr>
        <w:t xml:space="preserve">: Walt Whitman’s “Drum-Taps” </w:t>
      </w:r>
    </w:p>
    <w:p w14:paraId="54AD04E8" w14:textId="77777777" w:rsidR="00520456" w:rsidRDefault="00C4642F" w:rsidP="00520456">
      <w:pPr>
        <w:pStyle w:val="Default"/>
        <w:spacing w:after="240"/>
        <w:ind w:left="284"/>
        <w:jc w:val="both"/>
        <w:rPr>
          <w:sz w:val="22"/>
          <w:szCs w:val="22"/>
          <w:lang w:val="en-GB"/>
        </w:rPr>
      </w:pPr>
      <w:r w:rsidRPr="003F24E8">
        <w:rPr>
          <w:sz w:val="22"/>
          <w:szCs w:val="22"/>
          <w:lang w:val="en-GB"/>
        </w:rPr>
        <w:t xml:space="preserve">Read the following: </w:t>
      </w:r>
    </w:p>
    <w:p w14:paraId="54AD04E9" w14:textId="77777777" w:rsidR="00520456" w:rsidRDefault="00C4642F" w:rsidP="00520456">
      <w:pPr>
        <w:pStyle w:val="Default"/>
        <w:numPr>
          <w:ilvl w:val="0"/>
          <w:numId w:val="4"/>
        </w:numPr>
        <w:spacing w:after="48"/>
        <w:jc w:val="both"/>
        <w:rPr>
          <w:sz w:val="22"/>
          <w:szCs w:val="22"/>
          <w:lang w:val="en-GB"/>
        </w:rPr>
      </w:pPr>
      <w:r w:rsidRPr="00520456">
        <w:rPr>
          <w:sz w:val="22"/>
          <w:szCs w:val="22"/>
          <w:lang w:val="en-GB"/>
        </w:rPr>
        <w:t xml:space="preserve">Harold W. Blodgett and Sculley Bradley, edited, Walt Whitman’s </w:t>
      </w:r>
      <w:r w:rsidRPr="00520456">
        <w:rPr>
          <w:i/>
          <w:iCs/>
          <w:sz w:val="22"/>
          <w:szCs w:val="22"/>
          <w:lang w:val="en-GB"/>
        </w:rPr>
        <w:t xml:space="preserve">Leaves of Grass </w:t>
      </w:r>
      <w:r w:rsidRPr="00520456">
        <w:rPr>
          <w:sz w:val="22"/>
          <w:szCs w:val="22"/>
          <w:lang w:val="en-GB"/>
        </w:rPr>
        <w:t xml:space="preserve">(Comprehensive Reader’s Edition) (New York: New York University Press, 1965), pp. xxvii-liii (“Introduction”); 279-327 (“Drum-Taps”) </w:t>
      </w:r>
    </w:p>
    <w:p w14:paraId="54AD04EA" w14:textId="77777777" w:rsidR="00520456" w:rsidRDefault="00C4642F" w:rsidP="00520456">
      <w:pPr>
        <w:pStyle w:val="Default"/>
        <w:numPr>
          <w:ilvl w:val="0"/>
          <w:numId w:val="4"/>
        </w:numPr>
        <w:spacing w:after="48"/>
        <w:jc w:val="both"/>
        <w:rPr>
          <w:sz w:val="22"/>
          <w:szCs w:val="22"/>
          <w:lang w:val="en-GB"/>
        </w:rPr>
      </w:pPr>
      <w:r w:rsidRPr="00520456">
        <w:rPr>
          <w:sz w:val="22"/>
          <w:szCs w:val="22"/>
          <w:lang w:val="en-GB"/>
        </w:rPr>
        <w:t xml:space="preserve">Ed Folsom, “Appearing in Print: Illustrations of the Self in </w:t>
      </w:r>
      <w:r w:rsidRPr="00520456">
        <w:rPr>
          <w:i/>
          <w:iCs/>
          <w:sz w:val="22"/>
          <w:szCs w:val="22"/>
          <w:lang w:val="en-GB"/>
        </w:rPr>
        <w:t>Leaves of Grass</w:t>
      </w:r>
      <w:r w:rsidRPr="00520456">
        <w:rPr>
          <w:sz w:val="22"/>
          <w:szCs w:val="22"/>
          <w:lang w:val="en-GB"/>
        </w:rPr>
        <w:t xml:space="preserve">,” in Ezra Greenspan, edited, </w:t>
      </w:r>
      <w:r w:rsidRPr="00520456">
        <w:rPr>
          <w:i/>
          <w:iCs/>
          <w:sz w:val="22"/>
          <w:szCs w:val="22"/>
          <w:lang w:val="en-GB"/>
        </w:rPr>
        <w:t xml:space="preserve">The Cambridge Companion to Walt Whitman </w:t>
      </w:r>
      <w:r w:rsidRPr="00520456">
        <w:rPr>
          <w:sz w:val="22"/>
          <w:szCs w:val="22"/>
          <w:lang w:val="en-GB"/>
        </w:rPr>
        <w:t xml:space="preserve">(Cambridge: Cambridge University Press, 1995), pp. 135-165 </w:t>
      </w:r>
    </w:p>
    <w:p w14:paraId="54AD04EB" w14:textId="77777777" w:rsidR="00C4642F" w:rsidRPr="00520456" w:rsidRDefault="00C4642F" w:rsidP="00520456">
      <w:pPr>
        <w:pStyle w:val="Default"/>
        <w:numPr>
          <w:ilvl w:val="0"/>
          <w:numId w:val="4"/>
        </w:numPr>
        <w:spacing w:after="48"/>
        <w:jc w:val="both"/>
        <w:rPr>
          <w:sz w:val="22"/>
          <w:szCs w:val="22"/>
          <w:lang w:val="en-GB"/>
        </w:rPr>
      </w:pPr>
      <w:r w:rsidRPr="00520456">
        <w:rPr>
          <w:sz w:val="22"/>
          <w:szCs w:val="22"/>
          <w:lang w:val="en-GB"/>
        </w:rPr>
        <w:t xml:space="preserve">Kenneth M. Price, “Electronic Scholarly Editions,” Chapter 24 in </w:t>
      </w:r>
      <w:r w:rsidRPr="00520456">
        <w:rPr>
          <w:i/>
          <w:iCs/>
          <w:sz w:val="22"/>
          <w:szCs w:val="22"/>
          <w:lang w:val="en-GB"/>
        </w:rPr>
        <w:t>A Companion to Digital Literary Studies</w:t>
      </w:r>
      <w:r w:rsidRPr="00520456">
        <w:rPr>
          <w:sz w:val="22"/>
          <w:szCs w:val="22"/>
          <w:lang w:val="en-GB"/>
        </w:rPr>
        <w:t xml:space="preserve">, edited by Susan Schreibman and Ray Siemens (Oxford: Blackwell, 2008) &lt;http://www.digitalhumanities.org/companionDLS&gt; </w:t>
      </w:r>
    </w:p>
    <w:p w14:paraId="54AD04EC" w14:textId="77777777" w:rsidR="00C4642F" w:rsidRDefault="00C4642F" w:rsidP="00520456">
      <w:pPr>
        <w:pStyle w:val="Default"/>
        <w:jc w:val="both"/>
        <w:rPr>
          <w:sz w:val="22"/>
          <w:szCs w:val="22"/>
          <w:lang w:val="en-GB"/>
        </w:rPr>
      </w:pPr>
    </w:p>
    <w:p w14:paraId="54AD04ED" w14:textId="77777777" w:rsidR="00520456" w:rsidRPr="003F24E8" w:rsidRDefault="00520456" w:rsidP="00520456">
      <w:pPr>
        <w:pStyle w:val="Default"/>
        <w:jc w:val="both"/>
        <w:rPr>
          <w:sz w:val="22"/>
          <w:szCs w:val="22"/>
          <w:lang w:val="en-GB"/>
        </w:rPr>
      </w:pPr>
    </w:p>
    <w:p w14:paraId="54AD04EE" w14:textId="29575052" w:rsidR="00C4642F" w:rsidRPr="003F24E8" w:rsidRDefault="00C4642F" w:rsidP="00520456">
      <w:pPr>
        <w:pStyle w:val="Default"/>
        <w:spacing w:after="240"/>
        <w:jc w:val="both"/>
        <w:rPr>
          <w:sz w:val="22"/>
          <w:szCs w:val="22"/>
          <w:lang w:val="en-GB"/>
        </w:rPr>
      </w:pPr>
      <w:r w:rsidRPr="003F24E8">
        <w:rPr>
          <w:b/>
          <w:bCs/>
          <w:sz w:val="22"/>
          <w:szCs w:val="22"/>
          <w:lang w:val="en-GB"/>
        </w:rPr>
        <w:t>Friday, May 1</w:t>
      </w:r>
      <w:r w:rsidR="00DF6C43">
        <w:rPr>
          <w:b/>
          <w:bCs/>
          <w:sz w:val="22"/>
          <w:szCs w:val="22"/>
          <w:lang w:val="en-GB"/>
        </w:rPr>
        <w:t>0</w:t>
      </w:r>
      <w:r w:rsidR="003F24E8" w:rsidRPr="003F24E8">
        <w:rPr>
          <w:b/>
          <w:bCs/>
          <w:sz w:val="22"/>
          <w:szCs w:val="22"/>
          <w:vertAlign w:val="superscript"/>
          <w:lang w:val="en-GB"/>
        </w:rPr>
        <w:t>th</w:t>
      </w:r>
      <w:r w:rsidRPr="003F24E8">
        <w:rPr>
          <w:b/>
          <w:bCs/>
          <w:sz w:val="22"/>
          <w:szCs w:val="22"/>
          <w:lang w:val="en-GB"/>
        </w:rPr>
        <w:t xml:space="preserve">, </w:t>
      </w:r>
      <w:r w:rsidR="003F24E8" w:rsidRPr="003F24E8">
        <w:rPr>
          <w:b/>
          <w:bCs/>
          <w:sz w:val="22"/>
          <w:szCs w:val="22"/>
          <w:lang w:val="en-GB"/>
        </w:rPr>
        <w:t>14:10</w:t>
      </w:r>
      <w:r w:rsidRPr="003F24E8">
        <w:rPr>
          <w:b/>
          <w:bCs/>
          <w:sz w:val="22"/>
          <w:szCs w:val="22"/>
          <w:lang w:val="en-GB"/>
        </w:rPr>
        <w:t xml:space="preserve">: Student Presentations </w:t>
      </w:r>
    </w:p>
    <w:p w14:paraId="54AD04EF" w14:textId="77777777" w:rsidR="00E751EF" w:rsidRPr="00520456" w:rsidRDefault="00C4642F" w:rsidP="00520456">
      <w:pPr>
        <w:ind w:left="284"/>
        <w:jc w:val="both"/>
        <w:rPr>
          <w:rFonts w:ascii="Georgia" w:hAnsi="Georgia" w:cs="Georgia"/>
          <w:color w:val="000000"/>
        </w:rPr>
      </w:pPr>
      <w:r w:rsidRPr="00520456">
        <w:rPr>
          <w:rFonts w:ascii="Georgia" w:hAnsi="Georgia" w:cs="Georgia"/>
          <w:color w:val="000000"/>
        </w:rPr>
        <w:t>These presentations will be based on commissioned papers. These papers should illustrate a particular problem, editorial issue, or consideration of the traditional handling of one or more editorial situations in regard to the student’s own dissertation topic. Given the detailed nature of the topics covered during this course, these papers (and their corresponding presentation to the group at this Friday session) should be as concrete as possible. We are not looking for vague (i.e., general) engagements, but something that displays the student’s understanding of and ability to handle issues of editorship.</w:t>
      </w:r>
    </w:p>
    <w:sectPr w:rsidR="00E751EF" w:rsidRPr="00520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177C"/>
    <w:multiLevelType w:val="hybridMultilevel"/>
    <w:tmpl w:val="A0648CD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41E41022"/>
    <w:multiLevelType w:val="hybridMultilevel"/>
    <w:tmpl w:val="45F08DD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463D501F"/>
    <w:multiLevelType w:val="hybridMultilevel"/>
    <w:tmpl w:val="07E8C4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6D5A6FC6"/>
    <w:multiLevelType w:val="hybridMultilevel"/>
    <w:tmpl w:val="BB5EA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2F"/>
    <w:rsid w:val="00162753"/>
    <w:rsid w:val="003048C4"/>
    <w:rsid w:val="003F24E8"/>
    <w:rsid w:val="00520456"/>
    <w:rsid w:val="007C5957"/>
    <w:rsid w:val="0082570F"/>
    <w:rsid w:val="0086314A"/>
    <w:rsid w:val="00A31CFF"/>
    <w:rsid w:val="00B52A5B"/>
    <w:rsid w:val="00C4642F"/>
    <w:rsid w:val="00D4376E"/>
    <w:rsid w:val="00DF6C43"/>
    <w:rsid w:val="00E33367"/>
    <w:rsid w:val="00E75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04C2"/>
  <w15:docId w15:val="{416FCBD5-3012-48EA-B2E1-4BAAA902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C5957"/>
    <w:pPr>
      <w:widowControl w:val="0"/>
      <w:suppressAutoHyphens/>
      <w:spacing w:after="0" w:line="240" w:lineRule="auto"/>
    </w:pPr>
    <w:rPr>
      <w:rFonts w:ascii="Times New Roman" w:hAnsi="Times New Roman" w:cs="Mangal"/>
      <w:szCs w:val="18"/>
    </w:rPr>
  </w:style>
  <w:style w:type="character" w:customStyle="1" w:styleId="TextpoznpodarouChar">
    <w:name w:val="Text pozn. pod čarou Char"/>
    <w:basedOn w:val="Standardnpsmoodstavce"/>
    <w:link w:val="Textpoznpodarou"/>
    <w:uiPriority w:val="99"/>
    <w:semiHidden/>
    <w:rsid w:val="007C5957"/>
    <w:rPr>
      <w:rFonts w:ascii="Times New Roman" w:hAnsi="Times New Roman" w:cs="Mangal"/>
      <w:szCs w:val="18"/>
    </w:rPr>
  </w:style>
  <w:style w:type="paragraph" w:customStyle="1" w:styleId="Default">
    <w:name w:val="Default"/>
    <w:rsid w:val="00C4642F"/>
    <w:pPr>
      <w:autoSpaceDE w:val="0"/>
      <w:autoSpaceDN w:val="0"/>
      <w:adjustRightInd w:val="0"/>
      <w:spacing w:after="0" w:line="240" w:lineRule="auto"/>
    </w:pPr>
    <w:rPr>
      <w:rFonts w:ascii="Georgia" w:hAnsi="Georgia" w:cs="Georgia"/>
      <w:color w:val="000000"/>
      <w:sz w:val="24"/>
      <w:szCs w:val="24"/>
    </w:rPr>
  </w:style>
  <w:style w:type="paragraph" w:styleId="FormtovanvHTML">
    <w:name w:val="HTML Preformatted"/>
    <w:basedOn w:val="Normln"/>
    <w:link w:val="FormtovanvHTMLChar"/>
    <w:uiPriority w:val="99"/>
    <w:semiHidden/>
    <w:unhideWhenUsed/>
    <w:rsid w:val="003F24E8"/>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F24E8"/>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0881">
      <w:bodyDiv w:val="1"/>
      <w:marLeft w:val="0"/>
      <w:marRight w:val="0"/>
      <w:marTop w:val="0"/>
      <w:marBottom w:val="0"/>
      <w:divBdr>
        <w:top w:val="none" w:sz="0" w:space="0" w:color="auto"/>
        <w:left w:val="none" w:sz="0" w:space="0" w:color="auto"/>
        <w:bottom w:val="none" w:sz="0" w:space="0" w:color="auto"/>
        <w:right w:val="none" w:sz="0" w:space="0" w:color="auto"/>
      </w:divBdr>
    </w:div>
    <w:div w:id="1214271070">
      <w:bodyDiv w:val="1"/>
      <w:marLeft w:val="0"/>
      <w:marRight w:val="0"/>
      <w:marTop w:val="0"/>
      <w:marBottom w:val="0"/>
      <w:divBdr>
        <w:top w:val="none" w:sz="0" w:space="0" w:color="auto"/>
        <w:left w:val="none" w:sz="0" w:space="0" w:color="auto"/>
        <w:bottom w:val="none" w:sz="0" w:space="0" w:color="auto"/>
        <w:right w:val="none" w:sz="0" w:space="0" w:color="auto"/>
      </w:divBdr>
      <w:divsChild>
        <w:div w:id="27799277">
          <w:marLeft w:val="0"/>
          <w:marRight w:val="0"/>
          <w:marTop w:val="0"/>
          <w:marBottom w:val="0"/>
          <w:divBdr>
            <w:top w:val="none" w:sz="0" w:space="0" w:color="auto"/>
            <w:left w:val="none" w:sz="0" w:space="0" w:color="auto"/>
            <w:bottom w:val="none" w:sz="0" w:space="0" w:color="auto"/>
            <w:right w:val="none" w:sz="0" w:space="0" w:color="auto"/>
          </w:divBdr>
        </w:div>
      </w:divsChild>
    </w:div>
    <w:div w:id="1252590080">
      <w:bodyDiv w:val="1"/>
      <w:marLeft w:val="0"/>
      <w:marRight w:val="0"/>
      <w:marTop w:val="0"/>
      <w:marBottom w:val="0"/>
      <w:divBdr>
        <w:top w:val="none" w:sz="0" w:space="0" w:color="auto"/>
        <w:left w:val="none" w:sz="0" w:space="0" w:color="auto"/>
        <w:bottom w:val="none" w:sz="0" w:space="0" w:color="auto"/>
        <w:right w:val="none" w:sz="0" w:space="0" w:color="auto"/>
      </w:divBdr>
    </w:div>
    <w:div w:id="1394036999">
      <w:bodyDiv w:val="1"/>
      <w:marLeft w:val="0"/>
      <w:marRight w:val="0"/>
      <w:marTop w:val="0"/>
      <w:marBottom w:val="0"/>
      <w:divBdr>
        <w:top w:val="none" w:sz="0" w:space="0" w:color="auto"/>
        <w:left w:val="none" w:sz="0" w:space="0" w:color="auto"/>
        <w:bottom w:val="none" w:sz="0" w:space="0" w:color="auto"/>
        <w:right w:val="none" w:sz="0" w:space="0" w:color="auto"/>
      </w:divBdr>
      <w:divsChild>
        <w:div w:id="233785103">
          <w:marLeft w:val="0"/>
          <w:marRight w:val="0"/>
          <w:marTop w:val="0"/>
          <w:marBottom w:val="0"/>
          <w:divBdr>
            <w:top w:val="none" w:sz="0" w:space="0" w:color="auto"/>
            <w:left w:val="none" w:sz="0" w:space="0" w:color="auto"/>
            <w:bottom w:val="none" w:sz="0" w:space="0" w:color="auto"/>
            <w:right w:val="none" w:sz="0" w:space="0" w:color="auto"/>
          </w:divBdr>
        </w:div>
        <w:div w:id="544367822">
          <w:marLeft w:val="0"/>
          <w:marRight w:val="0"/>
          <w:marTop w:val="0"/>
          <w:marBottom w:val="0"/>
          <w:divBdr>
            <w:top w:val="none" w:sz="0" w:space="0" w:color="auto"/>
            <w:left w:val="none" w:sz="0" w:space="0" w:color="auto"/>
            <w:bottom w:val="none" w:sz="0" w:space="0" w:color="auto"/>
            <w:right w:val="none" w:sz="0" w:space="0" w:color="auto"/>
          </w:divBdr>
        </w:div>
      </w:divsChild>
    </w:div>
    <w:div w:id="1486627193">
      <w:bodyDiv w:val="1"/>
      <w:marLeft w:val="0"/>
      <w:marRight w:val="0"/>
      <w:marTop w:val="0"/>
      <w:marBottom w:val="0"/>
      <w:divBdr>
        <w:top w:val="none" w:sz="0" w:space="0" w:color="auto"/>
        <w:left w:val="none" w:sz="0" w:space="0" w:color="auto"/>
        <w:bottom w:val="none" w:sz="0" w:space="0" w:color="auto"/>
        <w:right w:val="none" w:sz="0" w:space="0" w:color="auto"/>
      </w:divBdr>
      <w:divsChild>
        <w:div w:id="85650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Kačer</dc:creator>
  <cp:lastModifiedBy>Tomáš Kačer</cp:lastModifiedBy>
  <cp:revision>4</cp:revision>
  <cp:lastPrinted>2017-03-03T12:01:00Z</cp:lastPrinted>
  <dcterms:created xsi:type="dcterms:W3CDTF">2019-02-18T13:04:00Z</dcterms:created>
  <dcterms:modified xsi:type="dcterms:W3CDTF">2019-02-18T13:16:00Z</dcterms:modified>
</cp:coreProperties>
</file>