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9154FF" w:rsidRPr="00A53FF9" w:rsidTr="007A42AB">
        <w:trPr>
          <w:trHeight w:hRule="exact" w:val="1418"/>
        </w:trPr>
        <w:tc>
          <w:tcPr>
            <w:tcW w:w="6804" w:type="dxa"/>
            <w:shd w:val="clear" w:color="auto" w:fill="auto"/>
            <w:vAlign w:val="center"/>
          </w:tcPr>
          <w:p w:rsidR="009154FF" w:rsidRPr="00A53FF9" w:rsidRDefault="00025817" w:rsidP="007A42AB">
            <w:pPr>
              <w:pStyle w:val="EPName"/>
            </w:pPr>
            <w:r w:rsidRPr="00A53FF9">
              <w:t>Parlement européen</w:t>
            </w:r>
          </w:p>
          <w:p w:rsidR="009154FF" w:rsidRPr="00A53FF9" w:rsidRDefault="007201F1" w:rsidP="007201F1">
            <w:pPr>
              <w:pStyle w:val="EPTerm"/>
              <w:rPr>
                <w:rStyle w:val="HideTWBExt"/>
                <w:noProof w:val="0"/>
                <w:vanish w:val="0"/>
                <w:color w:val="auto"/>
              </w:rPr>
            </w:pPr>
            <w:r w:rsidRPr="00A53FF9">
              <w:t>2014-2019</w:t>
            </w:r>
          </w:p>
        </w:tc>
        <w:tc>
          <w:tcPr>
            <w:tcW w:w="2268" w:type="dxa"/>
            <w:shd w:val="clear" w:color="auto" w:fill="auto"/>
          </w:tcPr>
          <w:p w:rsidR="009154FF" w:rsidRPr="00A53FF9" w:rsidRDefault="002F2A46" w:rsidP="007A42AB">
            <w:pPr>
              <w:pStyle w:val="EP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pt;height:50.4pt">
                  <v:imagedata r:id="rId7" o:title="EP logo RGB_Mute"/>
                </v:shape>
              </w:pict>
            </w:r>
          </w:p>
        </w:tc>
      </w:tr>
    </w:tbl>
    <w:p w:rsidR="000E7234" w:rsidRPr="00A53FF9" w:rsidRDefault="000E7234" w:rsidP="000E7234">
      <w:pPr>
        <w:pStyle w:val="LineTop"/>
      </w:pPr>
    </w:p>
    <w:p w:rsidR="000E7234" w:rsidRPr="00A53FF9" w:rsidRDefault="000E7234" w:rsidP="000E7234">
      <w:pPr>
        <w:pStyle w:val="ZCommittee"/>
      </w:pPr>
      <w:r w:rsidRPr="00A53FF9">
        <w:rPr>
          <w:rStyle w:val="HideTWBExt"/>
          <w:noProof w:val="0"/>
        </w:rPr>
        <w:t>&lt;</w:t>
      </w:r>
      <w:r w:rsidRPr="00A53FF9">
        <w:rPr>
          <w:rStyle w:val="HideTWBExt"/>
          <w:i w:val="0"/>
          <w:noProof w:val="0"/>
        </w:rPr>
        <w:t>Commission</w:t>
      </w:r>
      <w:r w:rsidRPr="00A53FF9">
        <w:rPr>
          <w:rStyle w:val="HideTWBExt"/>
          <w:noProof w:val="0"/>
        </w:rPr>
        <w:t>&gt;</w:t>
      </w:r>
      <w:r w:rsidRPr="00A53FF9">
        <w:rPr>
          <w:rStyle w:val="HideTWBInt"/>
          <w:color w:val="auto"/>
        </w:rPr>
        <w:t>{AGRI}</w:t>
      </w:r>
      <w:r w:rsidRPr="00A53FF9">
        <w:t>Commission de l’agriculture et du développement rural</w:t>
      </w:r>
      <w:r w:rsidRPr="00A53FF9">
        <w:rPr>
          <w:rStyle w:val="HideTWBExt"/>
          <w:noProof w:val="0"/>
        </w:rPr>
        <w:t>&lt;/</w:t>
      </w:r>
      <w:r w:rsidRPr="00A53FF9">
        <w:rPr>
          <w:rStyle w:val="HideTWBExt"/>
          <w:i w:val="0"/>
          <w:noProof w:val="0"/>
        </w:rPr>
        <w:t>Commission</w:t>
      </w:r>
      <w:r w:rsidRPr="00A53FF9">
        <w:rPr>
          <w:rStyle w:val="HideTWBExt"/>
          <w:noProof w:val="0"/>
        </w:rPr>
        <w:t>&gt;</w:t>
      </w:r>
    </w:p>
    <w:p w:rsidR="000E7234" w:rsidRPr="00A53FF9" w:rsidRDefault="000E7234" w:rsidP="000E7234">
      <w:pPr>
        <w:pStyle w:val="LineBottom"/>
      </w:pPr>
    </w:p>
    <w:p w:rsidR="00B85286" w:rsidRPr="00A53FF9" w:rsidRDefault="00B85286">
      <w:pPr>
        <w:pStyle w:val="RefProc"/>
      </w:pPr>
      <w:r w:rsidRPr="00A53FF9">
        <w:rPr>
          <w:rStyle w:val="HideTWBExt"/>
          <w:b w:val="0"/>
          <w:noProof w:val="0"/>
        </w:rPr>
        <w:t>&lt;</w:t>
      </w:r>
      <w:r w:rsidRPr="00A53FF9">
        <w:rPr>
          <w:rStyle w:val="HideTWBExt"/>
          <w:b w:val="0"/>
          <w:caps w:val="0"/>
          <w:noProof w:val="0"/>
        </w:rPr>
        <w:t>RefProc</w:t>
      </w:r>
      <w:r w:rsidRPr="00A53FF9">
        <w:rPr>
          <w:rStyle w:val="HideTWBExt"/>
          <w:b w:val="0"/>
          <w:noProof w:val="0"/>
        </w:rPr>
        <w:t>&gt;</w:t>
      </w:r>
      <w:r w:rsidRPr="00A53FF9">
        <w:t>2018/0218</w:t>
      </w:r>
      <w:r w:rsidRPr="00A53FF9">
        <w:rPr>
          <w:rStyle w:val="HideTWBExt"/>
          <w:b w:val="0"/>
          <w:noProof w:val="0"/>
        </w:rPr>
        <w:t>&lt;/</w:t>
      </w:r>
      <w:r w:rsidRPr="00A53FF9">
        <w:rPr>
          <w:rStyle w:val="HideTWBExt"/>
          <w:b w:val="0"/>
          <w:caps w:val="0"/>
          <w:noProof w:val="0"/>
        </w:rPr>
        <w:t>RefProc</w:t>
      </w:r>
      <w:r w:rsidRPr="00A53FF9">
        <w:rPr>
          <w:rStyle w:val="HideTWBExt"/>
          <w:b w:val="0"/>
          <w:noProof w:val="0"/>
        </w:rPr>
        <w:t>&gt;&lt;</w:t>
      </w:r>
      <w:r w:rsidRPr="00A53FF9">
        <w:rPr>
          <w:rStyle w:val="HideTWBExt"/>
          <w:b w:val="0"/>
          <w:caps w:val="0"/>
          <w:noProof w:val="0"/>
        </w:rPr>
        <w:t>RefTypeProc</w:t>
      </w:r>
      <w:r w:rsidRPr="00A53FF9">
        <w:rPr>
          <w:rStyle w:val="HideTWBExt"/>
          <w:b w:val="0"/>
          <w:noProof w:val="0"/>
        </w:rPr>
        <w:t>&gt;</w:t>
      </w:r>
      <w:r w:rsidRPr="00A53FF9">
        <w:t>(COD)</w:t>
      </w:r>
      <w:r w:rsidRPr="00A53FF9">
        <w:rPr>
          <w:rStyle w:val="HideTWBExt"/>
          <w:b w:val="0"/>
          <w:noProof w:val="0"/>
        </w:rPr>
        <w:t>&lt;/</w:t>
      </w:r>
      <w:r w:rsidRPr="00A53FF9">
        <w:rPr>
          <w:rStyle w:val="HideTWBExt"/>
          <w:b w:val="0"/>
          <w:caps w:val="0"/>
          <w:noProof w:val="0"/>
        </w:rPr>
        <w:t>RefTypeProc</w:t>
      </w:r>
      <w:r w:rsidRPr="00A53FF9">
        <w:rPr>
          <w:rStyle w:val="HideTWBExt"/>
          <w:b w:val="0"/>
          <w:noProof w:val="0"/>
        </w:rPr>
        <w:t>&gt;</w:t>
      </w:r>
    </w:p>
    <w:p w:rsidR="00B85286" w:rsidRPr="00A53FF9" w:rsidRDefault="00B85286">
      <w:pPr>
        <w:pStyle w:val="ZDate"/>
      </w:pPr>
      <w:r w:rsidRPr="00A53FF9">
        <w:rPr>
          <w:rStyle w:val="HideTWBExt"/>
          <w:noProof w:val="0"/>
        </w:rPr>
        <w:t>&lt;Date&gt;</w:t>
      </w:r>
      <w:r w:rsidRPr="00A53FF9">
        <w:rPr>
          <w:rStyle w:val="HideTWBInt"/>
          <w:color w:val="auto"/>
        </w:rPr>
        <w:t>{12/12/2018}</w:t>
      </w:r>
      <w:r w:rsidRPr="00A53FF9">
        <w:t>12.12.2018</w:t>
      </w:r>
      <w:r w:rsidRPr="00A53FF9">
        <w:rPr>
          <w:rStyle w:val="HideTWBExt"/>
          <w:noProof w:val="0"/>
        </w:rPr>
        <w:t>&lt;/Date&gt;</w:t>
      </w:r>
    </w:p>
    <w:p w:rsidR="009B0305" w:rsidRPr="00A53FF9" w:rsidRDefault="009B0305" w:rsidP="009B0305">
      <w:pPr>
        <w:pStyle w:val="TypeDocAM"/>
      </w:pPr>
      <w:r w:rsidRPr="00A53FF9">
        <w:rPr>
          <w:rStyle w:val="HideTWBExt"/>
          <w:b w:val="0"/>
          <w:noProof w:val="0"/>
        </w:rPr>
        <w:t>&lt;TypeAM&gt;</w:t>
      </w:r>
      <w:r w:rsidRPr="00A53FF9">
        <w:t>AMENDEMENTS</w:t>
      </w:r>
      <w:r w:rsidRPr="00A53FF9">
        <w:rPr>
          <w:rStyle w:val="HideTWBExt"/>
          <w:b w:val="0"/>
          <w:noProof w:val="0"/>
        </w:rPr>
        <w:t>&lt;/TypeAM&gt;</w:t>
      </w:r>
    </w:p>
    <w:p w:rsidR="00B85286" w:rsidRPr="00A53FF9" w:rsidRDefault="00E25DC5" w:rsidP="001C2054">
      <w:pPr>
        <w:pStyle w:val="NRAMS"/>
      </w:pPr>
      <w:r w:rsidRPr="00A53FF9">
        <w:rPr>
          <w:rStyle w:val="HideTWBExt"/>
          <w:b w:val="0"/>
          <w:noProof w:val="0"/>
        </w:rPr>
        <w:t>&lt;RangeAM&gt;</w:t>
      </w:r>
      <w:r w:rsidRPr="00A53FF9">
        <w:t>110 - 349</w:t>
      </w:r>
      <w:r w:rsidRPr="00A53FF9">
        <w:rPr>
          <w:rStyle w:val="HideTWBExt"/>
          <w:b w:val="0"/>
          <w:noProof w:val="0"/>
        </w:rPr>
        <w:t>&lt;/RangeAM&gt;</w:t>
      </w:r>
    </w:p>
    <w:p w:rsidR="001C2054" w:rsidRPr="00A53FF9" w:rsidRDefault="00A15973" w:rsidP="00A93F8C">
      <w:pPr>
        <w:pStyle w:val="CoverBold"/>
      </w:pPr>
      <w:r w:rsidRPr="00A53FF9">
        <w:rPr>
          <w:rStyle w:val="HideTWBExt"/>
          <w:b w:val="0"/>
          <w:noProof w:val="0"/>
        </w:rPr>
        <w:t>&lt;TitreType&gt;</w:t>
      </w:r>
      <w:r w:rsidRPr="00A53FF9">
        <w:t>Projet de rapport</w:t>
      </w:r>
      <w:r w:rsidRPr="00A53FF9">
        <w:rPr>
          <w:rStyle w:val="HideTWBExt"/>
          <w:b w:val="0"/>
          <w:noProof w:val="0"/>
        </w:rPr>
        <w:t>&lt;/TitreType&gt;</w:t>
      </w:r>
    </w:p>
    <w:p w:rsidR="00B85286" w:rsidRPr="00A53FF9" w:rsidRDefault="00E25DC5" w:rsidP="00A93F8C">
      <w:pPr>
        <w:pStyle w:val="CoverBold"/>
      </w:pPr>
      <w:r w:rsidRPr="00A53FF9">
        <w:rPr>
          <w:rStyle w:val="HideTWBExt"/>
          <w:b w:val="0"/>
          <w:noProof w:val="0"/>
        </w:rPr>
        <w:t>&lt;Rapporteur&gt;</w:t>
      </w:r>
      <w:r w:rsidRPr="00A53FF9">
        <w:t>Eric Andrieu</w:t>
      </w:r>
      <w:r w:rsidRPr="00A53FF9">
        <w:rPr>
          <w:rStyle w:val="HideTWBExt"/>
          <w:b w:val="0"/>
          <w:noProof w:val="0"/>
        </w:rPr>
        <w:t>&lt;/Rapporteur&gt;</w:t>
      </w:r>
    </w:p>
    <w:p w:rsidR="00B85286" w:rsidRPr="00A53FF9" w:rsidRDefault="00075DBE">
      <w:pPr>
        <w:pStyle w:val="Cover24"/>
      </w:pPr>
      <w:r w:rsidRPr="00A53FF9">
        <w:rPr>
          <w:rStyle w:val="HideTWBExt"/>
          <w:noProof w:val="0"/>
        </w:rPr>
        <w:t>&lt;DocRefPE&gt;</w:t>
      </w:r>
      <w:r w:rsidRPr="00A53FF9">
        <w:t>(PE631.782v01-00)</w:t>
      </w:r>
      <w:r w:rsidRPr="00A53FF9">
        <w:rPr>
          <w:rStyle w:val="HideTWBExt"/>
          <w:noProof w:val="0"/>
        </w:rPr>
        <w:t>&lt;/DocRefPE&gt;</w:t>
      </w:r>
    </w:p>
    <w:p w:rsidR="00B85286" w:rsidRPr="00626711" w:rsidRDefault="00A15973" w:rsidP="00626711">
      <w:pPr>
        <w:pStyle w:val="Cover24"/>
      </w:pPr>
      <w:r w:rsidRPr="00626711">
        <w:rPr>
          <w:rStyle w:val="HideTWBExt"/>
          <w:noProof w:val="0"/>
        </w:rPr>
        <w:t>&lt;Titre&gt;</w:t>
      </w:r>
      <w:r w:rsidR="00626711" w:rsidRPr="00626711">
        <w:t xml:space="preserve">Proposition de règlement du </w:t>
      </w:r>
      <w:r w:rsidR="00626711">
        <w:t>P</w:t>
      </w:r>
      <w:r w:rsidR="00626711" w:rsidRPr="00626711">
        <w:t xml:space="preserve">arlement européen et du </w:t>
      </w:r>
      <w:r w:rsidR="00626711">
        <w:t>C</w:t>
      </w:r>
      <w:r w:rsidR="00626711" w:rsidRPr="00626711">
        <w:t>onseil m</w:t>
      </w:r>
      <w:r w:rsidR="00626711">
        <w:t>odifiant les règlements (UE) n° </w:t>
      </w:r>
      <w:r w:rsidR="00626711" w:rsidRPr="00626711">
        <w:t>1308/2013 portant organisation commune des marchés dans le secteur des produits agricoles, (UE) n°°1151/2012 relatif aux systèmes de qualité applicables aux produits agricoles et au</w:t>
      </w:r>
      <w:r w:rsidR="00626711">
        <w:t>x denrées alimentaires, (UE) n° </w:t>
      </w:r>
      <w:r w:rsidR="00626711" w:rsidRPr="00626711">
        <w:t>251/2014 concernant la définition, la description, la présentation, l’étiquetage et la protection des indications géographiques des produit</w:t>
      </w:r>
      <w:r w:rsidR="00626711">
        <w:t>s vinicoles aromatisés, (UE) n° </w:t>
      </w:r>
      <w:r w:rsidR="00626711" w:rsidRPr="00626711">
        <w:t>228/2013 portant mesures spécifiques dans le domaine de l’agriculture en faveur des régions ultrapéri</w:t>
      </w:r>
      <w:r w:rsidR="00626711">
        <w:t>phériques de l’Union et (UE) n° </w:t>
      </w:r>
      <w:r w:rsidR="00626711" w:rsidRPr="00626711">
        <w:t>229/2013 portant mesures spécifiques dans le domaine de l’agriculture en faveur des îles mineures de la mer Égée</w:t>
      </w:r>
      <w:r w:rsidRPr="00626711">
        <w:rPr>
          <w:rStyle w:val="HideTWBExt"/>
          <w:noProof w:val="0"/>
        </w:rPr>
        <w:t>&lt;/Titre&gt;</w:t>
      </w:r>
    </w:p>
    <w:p w:rsidR="006337D4" w:rsidRPr="00A53FF9" w:rsidRDefault="00E25DC5" w:rsidP="006337D4">
      <w:pPr>
        <w:pStyle w:val="CoverNormal"/>
      </w:pPr>
      <w:r w:rsidRPr="00A53FF9">
        <w:rPr>
          <w:rStyle w:val="HideTWBExt"/>
          <w:noProof w:val="0"/>
        </w:rPr>
        <w:t>&lt;DocAmend&gt;</w:t>
      </w:r>
      <w:r w:rsidRPr="00A53FF9">
        <w:t>Proposition de règlement</w:t>
      </w:r>
      <w:r w:rsidRPr="00A53FF9">
        <w:rPr>
          <w:rStyle w:val="HideTWBExt"/>
          <w:noProof w:val="0"/>
        </w:rPr>
        <w:t>&lt;/DocAmend&gt;</w:t>
      </w:r>
    </w:p>
    <w:p w:rsidR="00B85286" w:rsidRPr="00A53FF9" w:rsidRDefault="00A15973">
      <w:pPr>
        <w:pStyle w:val="Cover24"/>
      </w:pPr>
      <w:r w:rsidRPr="00A53FF9">
        <w:rPr>
          <w:rStyle w:val="HideTWBExt"/>
          <w:noProof w:val="0"/>
        </w:rPr>
        <w:t>&lt;DocRef&gt;</w:t>
      </w:r>
      <w:r w:rsidRPr="00A53FF9">
        <w:t>(COM(2018)</w:t>
      </w:r>
      <w:r w:rsidR="00CF0EE3">
        <w:t>0</w:t>
      </w:r>
      <w:r w:rsidRPr="00A53FF9">
        <w:t>394 – C8</w:t>
      </w:r>
      <w:r w:rsidRPr="00A53FF9">
        <w:noBreakHyphen/>
        <w:t>0246/2018 – 2018/0218(COD))</w:t>
      </w:r>
      <w:r w:rsidRPr="00A53FF9">
        <w:rPr>
          <w:rStyle w:val="HideTWBExt"/>
          <w:noProof w:val="0"/>
        </w:rPr>
        <w:t>&lt;/DocRef&gt;</w:t>
      </w:r>
    </w:p>
    <w:p w:rsidR="00B85286" w:rsidRPr="00A53FF9" w:rsidRDefault="00B85286" w:rsidP="00E660E2">
      <w:pPr>
        <w:widowControl/>
        <w:tabs>
          <w:tab w:val="center" w:pos="4677"/>
        </w:tabs>
      </w:pPr>
      <w:r w:rsidRPr="00A53FF9">
        <w:br w:type="page"/>
      </w:r>
    </w:p>
    <w:p w:rsidR="00B85286" w:rsidRPr="00A53FF9" w:rsidRDefault="00025817" w:rsidP="00E660E2">
      <w:pPr>
        <w:widowControl/>
        <w:tabs>
          <w:tab w:val="center" w:pos="4677"/>
        </w:tabs>
      </w:pPr>
      <w:r w:rsidRPr="00A53FF9">
        <w:t>AM_Com_LegReport</w:t>
      </w:r>
    </w:p>
    <w:p w:rsidR="002F2A46" w:rsidRPr="00A53FF9" w:rsidRDefault="00B85286" w:rsidP="002F2A46">
      <w:r w:rsidRPr="00A53FF9">
        <w:br w:type="page"/>
      </w:r>
      <w:bookmarkStart w:id="0" w:name="EndB"/>
    </w:p>
    <w:p w:rsidR="002F2A46" w:rsidRPr="00A53FF9" w:rsidRDefault="002F2A46" w:rsidP="002F2A46">
      <w:pPr>
        <w:rPr>
          <w:noProof/>
        </w:rPr>
      </w:pPr>
      <w:r w:rsidRPr="002F2A46">
        <w:rPr>
          <w:rStyle w:val="HideTWBExt"/>
        </w:rPr>
        <w:t>&lt;RepeatBlock-Amend&gt;</w:t>
      </w:r>
      <w:r>
        <w:rPr>
          <w:rStyle w:val="HideTWBExt"/>
        </w:rPr>
        <w:t>&lt;Amend&gt;</w:t>
      </w:r>
      <w:r w:rsidRPr="00421CE3">
        <w:t>Amendement</w:t>
      </w:r>
      <w:r w:rsidRPr="00421CE3">
        <w:tab/>
      </w:r>
      <w:r w:rsidRPr="00421CE3">
        <w:tab/>
      </w:r>
      <w:r>
        <w:rPr>
          <w:rStyle w:val="HideTWBExt"/>
        </w:rPr>
        <w:t>&lt;NumAm&gt;</w:t>
      </w:r>
      <w:r w:rsidRPr="00421CE3">
        <w:t>110</w:t>
      </w:r>
      <w:r>
        <w:rPr>
          <w:rStyle w:val="HideTWBExt"/>
        </w:rPr>
        <w:t>&lt;/NumAm&gt;</w:t>
      </w:r>
    </w:p>
    <w:p w:rsidR="002F2A46" w:rsidRPr="00A53FF9" w:rsidRDefault="002F2A46" w:rsidP="002F2A46">
      <w:pPr>
        <w:pStyle w:val="NormalBold"/>
        <w:rPr>
          <w:noProof/>
        </w:rPr>
      </w:pPr>
      <w:r>
        <w:rPr>
          <w:rStyle w:val="HideTWBExt"/>
          <w:b w:val="0"/>
        </w:rPr>
        <w:t>&lt;RepeatBlock-By&gt;&lt;Members&gt;</w:t>
      </w:r>
      <w:r w:rsidRPr="00421CE3">
        <w:t>Tomáš Zdechovský</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{CONT}</w:t>
      </w:r>
      <w:r w:rsidRPr="00421CE3">
        <w:t>au nom de la commission du contrôle budgétaire</w:t>
      </w:r>
      <w:r>
        <w:rPr>
          <w:rStyle w:val="HideTWBExt"/>
        </w:rPr>
        <w:t>&lt;/AuNomDe&gt;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w:t>
            </w:r>
            <w:r w:rsidRPr="00421CE3">
              <w:tab/>
              <w:t>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les résultats, afin de favoriser la modernisation et le développement durable, notamment la viabilité économique, sociale, environnementale et climatique, des zones agricoles, forestières et rurales, et de contribuer à réduire la charge administrative liée à la législation de l’Union qui pèse sur les bénéficiaires.</w:t>
            </w:r>
          </w:p>
        </w:tc>
        <w:tc>
          <w:tcPr>
            <w:tcW w:w="4876" w:type="dxa"/>
            <w:hideMark/>
          </w:tcPr>
          <w:p w:rsidR="002F2A46" w:rsidRPr="00421CE3" w:rsidRDefault="002F2A46" w:rsidP="003A3553">
            <w:pPr>
              <w:pStyle w:val="Normal6"/>
              <w:rPr>
                <w:noProof/>
                <w:szCs w:val="24"/>
              </w:rPr>
            </w:pPr>
            <w:r w:rsidRPr="00421CE3">
              <w:t>(1)</w:t>
            </w:r>
            <w:r w:rsidRPr="00421CE3">
              <w:tab/>
              <w:t>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les résultats, afin de favoriser la modernisation et le développement durable, notamment la viabilité économique, sociale, environnementale et climatique, des zones agricoles, forestières et rurales</w:t>
            </w:r>
            <w:r w:rsidRPr="00421CE3">
              <w:rPr>
                <w:b/>
                <w:i/>
              </w:rPr>
              <w:t xml:space="preserve"> (notamment en portant une attention accrue à l’agroforesterie)</w:t>
            </w:r>
            <w:r w:rsidRPr="00421CE3">
              <w:t>,</w:t>
            </w:r>
            <w:r w:rsidRPr="00421CE3">
              <w:rPr>
                <w:b/>
                <w:i/>
              </w:rPr>
              <w:t xml:space="preserve"> de réduire le gaspillage alimentaire, de promouvoir l’éducation aux habitudes alimentaires saines</w:t>
            </w:r>
            <w:r w:rsidRPr="00421CE3">
              <w:t xml:space="preserve"> et de contribuer à réduire la charge administrative liée à la législation de l’Union qui pèse sur les bénéficiaires.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111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 Maria Heubuch</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w:t>
            </w:r>
            <w:r w:rsidRPr="00421CE3">
              <w:tab/>
              <w:t>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les résultats, afin de favoriser la modernisation et le développement durable, notamment la viabilité économique, sociale, environnementale et climatique, des zones agricoles, forestières et rurales, et de contribuer à réduire la charge administrative liée à la législation de l’Union qui pèse sur les bénéficiaires.</w:t>
            </w:r>
          </w:p>
        </w:tc>
        <w:tc>
          <w:tcPr>
            <w:tcW w:w="4876" w:type="dxa"/>
            <w:hideMark/>
          </w:tcPr>
          <w:p w:rsidR="002F2A46" w:rsidRPr="00421CE3" w:rsidRDefault="002F2A46" w:rsidP="003A3553">
            <w:pPr>
              <w:pStyle w:val="Normal6"/>
              <w:rPr>
                <w:noProof/>
                <w:szCs w:val="24"/>
              </w:rPr>
            </w:pPr>
            <w:r w:rsidRPr="00421CE3">
              <w:t>(1)</w:t>
            </w:r>
            <w:r w:rsidRPr="00421CE3">
              <w:tab/>
              <w:t xml:space="preserve">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les résultats, afin de favoriser la modernisation et le développement durable, notamment la viabilité économique, sociale, environnementale et climatique, des zones agricoles, forestières et rurales, </w:t>
            </w:r>
            <w:r w:rsidRPr="00421CE3">
              <w:rPr>
                <w:b/>
                <w:i/>
              </w:rPr>
              <w:t xml:space="preserve">conformément au programme de développement durable à l’horizon 2030 et à l’accord de Paris sur le climat, </w:t>
            </w:r>
            <w:r w:rsidRPr="00421CE3">
              <w:t>et de contribuer à réduire la charge administrative liée à la législation de l’Union qui pèse sur les bénéficiaires.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Conformément à l’article 208 du traité FUE, l’Union doit tenir compte des objectifs de coopération au développement dans l’ensemble des politiques concernées.  Or, parmi les grands objectifs de l’Union en la matière figurent précisément la promotion du développement de l’agriculture dans les pays les moins avancés et l’amélioration de la sécurité alimentaire dans le monde. La PAC influence en particulier les échanges agricoles. Le principe de cohérence des politiques au service du développement exige que les répercussions potentielles sur les marchés agricoles locaux et les producteurs locaux dans les pays en développement soient prises en compte, surveillées et, dans la mesure du possible, évitées.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112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Matt Carthy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w:t>
            </w:r>
            <w:r w:rsidRPr="00421CE3">
              <w:tab/>
              <w:t xml:space="preserve">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w:t>
            </w:r>
            <w:r w:rsidRPr="00421CE3">
              <w:rPr>
                <w:b/>
                <w:i/>
              </w:rPr>
              <w:t>les résultats</w:t>
            </w:r>
            <w:r w:rsidRPr="00421CE3">
              <w:t>, afin de favoriser la modernisation et le développement durable, notamment la viabilité économique, sociale, environnementale et climatique, des zones agricoles, forestières et rurales, et de contribuer à réduire la charge administrative liée à la législation de l’Union qui pèse sur les bénéficiaires.</w:t>
            </w:r>
          </w:p>
        </w:tc>
        <w:tc>
          <w:tcPr>
            <w:tcW w:w="4876" w:type="dxa"/>
            <w:hideMark/>
          </w:tcPr>
          <w:p w:rsidR="002F2A46" w:rsidRPr="00421CE3" w:rsidRDefault="002F2A46" w:rsidP="003A3553">
            <w:pPr>
              <w:pStyle w:val="Normal6"/>
              <w:rPr>
                <w:noProof/>
                <w:szCs w:val="24"/>
              </w:rPr>
            </w:pPr>
            <w:r w:rsidRPr="00421CE3">
              <w:t>(1)</w:t>
            </w:r>
            <w:r w:rsidRPr="00421CE3">
              <w:tab/>
              <w:t xml:space="preserve">La communication de la Commission au Parlement européen, au Conseil, au Comité économique et social européen et au Comité des régions, du 29 novembre 2017, intitulée «L’avenir de l’alimentation et de l’agriculture» énonce les défis, les objectifs et les orientations de la future politique agricole commune (ci-après dénommée la «PAC») après 2020. Ces objectifs comprennent, entre autres, la nécessité pour la PAC d’être davantage axée sur </w:t>
            </w:r>
            <w:r w:rsidRPr="00421CE3">
              <w:rPr>
                <w:b/>
                <w:i/>
              </w:rPr>
              <w:t>des revenus viables pour les agriculteurs</w:t>
            </w:r>
            <w:r w:rsidRPr="00421CE3">
              <w:t>, afin de favoriser la modernisation et le développement durable, notamment la viabilité économique, sociale, environnementale et climatique, des zones agricoles, forestières et rurales, et de contribuer à réduire la charge administrative liée à la législation de l’Union qui pèse sur les bénéficiaires.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113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Angélique Delahaye</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 bis)</w:t>
            </w:r>
            <w:r w:rsidRPr="00A53FF9">
              <w:rPr>
                <w:b/>
                <w:i/>
              </w:rPr>
              <w:tab/>
              <w:t>Le développement d’accords commerciaux conduit d’une part à accroitre la mise en concurrence des producteurs agricoles à l'international, tout en leur ouvrant de nouvelles perspectives. Afin de maintenir une concurrence équitable et d’assurer une réciprocité dans les échanges internationaux, l’Union européenne doit faire respecter des normes de production conforment à celles établies pour ses propres producteurs, notamment en matière environnementale et sanitaire, sous réserve de réciprocité.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114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Tomáš Zdechovský</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{CONT}</w:t>
      </w:r>
      <w:r w:rsidRPr="00421CE3">
        <w:t>au nom de la commission du contrôle budgétaire</w:t>
      </w:r>
      <w:r>
        <w:rPr>
          <w:rStyle w:val="HideTWBExt"/>
        </w:rPr>
        <w:t>&lt;/AuNomDe&gt;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(2)</w:t>
            </w:r>
            <w:r w:rsidRPr="00421CE3">
              <w:tab/>
              <w:t xml:space="preserve">La PAC devant affûter les réponses qu’elle apporte aux défis à relever et aux opportunités à saisir, tels qu’ils apparaissent au niveau de l’Union, aux niveaux international, national, régional et local, et au niveau des exploitations agricoles, il est nécessaire de rationaliser la gouvernance de la PAC et d’améliorer sa contribution à la réalisation des objectifs de l’Union, ainsi que de réduire sensiblement la charge administrative. Dans le cadre de la PAC fondée sur les résultats et les performances (le «modèle de mise en œuvre»), l’Union devrait fixer les paramètres essentiels, tels que les objectifs de la PAC et les exigences essentielles, tandis que les États membres </w:t>
            </w:r>
            <w:r w:rsidRPr="00421CE3">
              <w:rPr>
                <w:b/>
                <w:i/>
              </w:rPr>
              <w:t>devraient assumer</w:t>
            </w:r>
            <w:r w:rsidRPr="00421CE3">
              <w:t xml:space="preserve"> une plus grande responsabilité quant à la manière dont ils atteignent les objectifs. Une plus grande subsidiarité permet de mieux tenir compte des conditions et des besoins locaux, en concevant l’aide de manière à optimiser sa contribution aux objectifs de l’Union.</w:t>
            </w:r>
          </w:p>
        </w:tc>
        <w:tc>
          <w:tcPr>
            <w:tcW w:w="4876" w:type="dxa"/>
            <w:hideMark/>
          </w:tcPr>
          <w:p w:rsidR="002F2A46" w:rsidRPr="00421CE3" w:rsidRDefault="002F2A46" w:rsidP="003A3553">
            <w:pPr>
              <w:pStyle w:val="Normal6"/>
              <w:rPr>
                <w:noProof/>
                <w:szCs w:val="24"/>
              </w:rPr>
            </w:pPr>
            <w:r w:rsidRPr="00421CE3">
              <w:t>(2)</w:t>
            </w:r>
            <w:r w:rsidRPr="00421CE3">
              <w:tab/>
              <w:t xml:space="preserve">La PAC devant affûter les réponses qu’elle apporte aux défis à relever et aux opportunités à saisir, tels qu’ils apparaissent au niveau de l’Union, aux niveaux international, national, régional et local, et au niveau des exploitations agricoles, il est nécessaire de rationaliser la gouvernance de la PAC et d’améliorer sa contribution à la réalisation des objectifs de l’Union, ainsi que de réduire sensiblement la charge administrative. Dans le cadre de la PAC fondée sur les résultats et les performances (le «modèle de mise en œuvre»), </w:t>
            </w:r>
            <w:r w:rsidRPr="00421CE3">
              <w:rPr>
                <w:b/>
                <w:i/>
              </w:rPr>
              <w:t xml:space="preserve">et en tenant compte en premier lieu de l’objectif d’assurer un revenu durable aux producteurs, </w:t>
            </w:r>
            <w:r w:rsidRPr="00421CE3">
              <w:t xml:space="preserve">l’Union devrait fixer les paramètres essentiels, tels que les objectifs de la PAC et les exigences essentielles, tandis que les États membres </w:t>
            </w:r>
            <w:r w:rsidRPr="00421CE3">
              <w:rPr>
                <w:b/>
                <w:i/>
              </w:rPr>
              <w:t>assument</w:t>
            </w:r>
            <w:r w:rsidRPr="00421CE3">
              <w:t xml:space="preserve"> une plus grande responsabilité quant à la manière dont ils atteignent les objectifs. Une plus grande subsidiarité permet de mieux tenir compte des conditions et des besoins locaux, en concevant l’aide de manière à optimiser sa contribution aux objectifs de l’Union.</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Si les États membres peuvent se voir accorder davantage d’autonomie dans la distribution des fonds de la PAC, certains utilisent toujours un système inique basé sur la surface, qui ne tient pas compte des agriculteurs qui sont le plus dans le besoin, à savoir les petits exploitants.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115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 Maria Heubuch</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(2 bis)</w:t>
            </w:r>
            <w:r w:rsidRPr="00421CE3">
              <w:rPr>
                <w:b/>
                <w:i/>
              </w:rPr>
              <w:tab/>
              <w:t>Conformément à l’article 208 du traité sur le fonctionnement de l’Union européenne (traité FUE), la mise en œuvre de la PAC est cohérente avec les objectifs de la coopération au développement, y compris, entre autres, le programme de développement durable à l’horizon 2030. Dans le droit fil de cette exigence de cohérence entre les politiques, les mesures prises au titre du présent règlement ne compromettent pas la capacité de production alimentaire ni la sécurité alimentaire à long terme de pays en développement, notamment des pays les moins avancés.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L’article 208 du traité FUE dispose que toutes les politiques de l'Union susceptibles d’affecter les pays en développement doivent tenir compte des objectifs de la coopération au développement. Or, parmi les grands objectifs de l’Union en la matière figurent précisément la promotion du développement de l’agriculture dans les pays en développement et l’amélioration de la sécurité alimentaire dans le monde. La PAC influence en particulier les échanges agricoles.  Le principe de cohérence des politiques au service du développement exige que les incidences sur les marchés agricoles locaux et les producteurs locaux dans les pays en développement soient surveillées et, dans la mesure du possible, évitées.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116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Miguel Viegas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Considérant 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(2 bis)</w:t>
            </w:r>
            <w:r w:rsidRPr="005828C1">
              <w:rPr>
                <w:b/>
                <w:i/>
              </w:rPr>
              <w:tab/>
              <w:t>Cependant, l’instabilité croissante des prix et la chute des revenus des agriculteurs, aggravée par l’orientation de plus en plus marquée de la PAC vers les marchés, font apparaître la nécessité de recréer des instruments publics de régulation de l’offre qui garantissent une répartition équitable de la production entre les pays et entre les agriculteurs.</w:t>
            </w:r>
          </w:p>
        </w:tc>
      </w:tr>
    </w:tbl>
    <w:p w:rsidR="002F2A46" w:rsidRPr="00A53FF9" w:rsidRDefault="002F2A46" w:rsidP="002F2A46">
      <w:pPr>
        <w:pStyle w:val="Olang"/>
        <w:rPr>
          <w:szCs w:val="24"/>
        </w:rPr>
      </w:pPr>
      <w:r w:rsidRPr="005828C1">
        <w:t xml:space="preserve">Or. </w:t>
      </w:r>
      <w:r w:rsidRPr="00B75D78">
        <w:rPr>
          <w:rStyle w:val="HideTWBExt"/>
        </w:rPr>
        <w:t>&lt;Original&gt;</w:t>
      </w:r>
      <w:r w:rsidRPr="00B75D78">
        <w:rPr>
          <w:rStyle w:val="HideTWBInt"/>
        </w:rPr>
        <w:t>{PT}</w:t>
      </w:r>
      <w:r w:rsidRPr="005828C1">
        <w:t>pt</w:t>
      </w:r>
      <w:r w:rsidRPr="00B75D78">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117</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3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bis)</w:t>
            </w:r>
            <w:r w:rsidRPr="00A53FF9">
              <w:rPr>
                <w:b/>
                <w:i/>
              </w:rPr>
              <w:tab/>
              <w:t>Pour concrétiser les objectifs de PAC tels qu’ils sont énoncés à l’article 39 du traité sur le fonctionnement de l’Union européenne (le «TFUE»), ainsi que pour faire en sorte que l’Union relève adéquatement les défis les plus récents auxquels elle est confrontée, il y a lieu de prévoir un ensemble d’objectifs généraux reflétant les orientations énoncées dans la communication de la Commission sur «L’avenir de l’alimentation et de l’agriculture». Sans préjudice des objectifs spécifiques fixés dans le cadre des plans stratégiques relevant de la PAC, une série d’objectifs additionnels et spécifiques à l’organisation commune des marchés agricoles devraient en outre être définis.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a pour objet de fixer des objectifs spécifiques à l'organisation commune des marchés et doit être lu en lien avec la proposition d'un nouvel article 1bis.</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0218A0">
        <w:t>Amendement</w:t>
      </w:r>
      <w:r w:rsidRPr="000218A0">
        <w:tab/>
      </w:r>
      <w:r w:rsidRPr="000218A0">
        <w:tab/>
      </w:r>
      <w:r>
        <w:rPr>
          <w:rStyle w:val="HideTWBExt"/>
          <w:b w:val="0"/>
        </w:rPr>
        <w:t>&lt;NumAm&gt;</w:t>
      </w:r>
      <w:r w:rsidRPr="000218A0">
        <w:t>118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218A0">
        <w:t>Georgios Epitideios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218A0">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218A0">
        <w:t>Considérant 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218A0" w:rsidRDefault="002F2A46" w:rsidP="003A3553">
            <w:pPr>
              <w:pStyle w:val="ColumnHeading"/>
              <w:keepNext/>
              <w:rPr>
                <w:noProof/>
              </w:rPr>
            </w:pPr>
            <w:r w:rsidRPr="000218A0">
              <w:t>Texte proposé par la Commission</w:t>
            </w:r>
          </w:p>
        </w:tc>
        <w:tc>
          <w:tcPr>
            <w:tcW w:w="4876" w:type="dxa"/>
            <w:hideMark/>
          </w:tcPr>
          <w:p w:rsidR="002F2A46" w:rsidRPr="000218A0" w:rsidRDefault="002F2A46" w:rsidP="003A3553">
            <w:pPr>
              <w:pStyle w:val="ColumnHeading"/>
              <w:keepNext/>
              <w:rPr>
                <w:noProof/>
              </w:rPr>
            </w:pPr>
            <w:r w:rsidRPr="000218A0">
              <w:t>Amendement</w:t>
            </w:r>
          </w:p>
        </w:tc>
      </w:tr>
      <w:tr w:rsidR="002F2A46" w:rsidRPr="00A53FF9" w:rsidTr="003A3553">
        <w:trPr>
          <w:jc w:val="center"/>
        </w:trPr>
        <w:tc>
          <w:tcPr>
            <w:tcW w:w="4876" w:type="dxa"/>
            <w:hideMark/>
          </w:tcPr>
          <w:p w:rsidR="002F2A46" w:rsidRPr="000218A0" w:rsidRDefault="002F2A46" w:rsidP="003A3553">
            <w:pPr>
              <w:pStyle w:val="Normal6"/>
              <w:rPr>
                <w:noProof/>
              </w:rPr>
            </w:pPr>
            <w:r w:rsidRPr="000218A0">
              <w:t>(4)</w:t>
            </w:r>
            <w:r w:rsidRPr="000218A0">
              <w:tab/>
              <w:t>L’annexe II du règlement (UE) n° 1308/2013 établit certaines définitions concernant des secteurs relevant du champ d’application de ce règlement. Il y a lieu de supprimer les définitions relatives au secteur du sucre figurant dans la partie II, section B, de ladite annexe parce qu’elles ne sont plus applicables. Afin de mettre à jour les définitions concernant d’autres secteurs visés dans cette annexe, à la lumière des nouvelles connaissances scientifiques et de l’évolution du marché, le pouvoir d’adopter des actes conformément à l’article 290 du traité sur le fonctionnement de l’Union européenne devrait être délégué à la Commission en ce qui concerne la modification de ces définitions.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 La délégation de pouvoir à la Commission prévue dans la partie II, section A, point 4, de cette annexe pour modifier la définition du sirop d’inuline devrait, par conséquent, être supprimée.</w:t>
            </w:r>
          </w:p>
        </w:tc>
        <w:tc>
          <w:tcPr>
            <w:tcW w:w="4876" w:type="dxa"/>
            <w:hideMark/>
          </w:tcPr>
          <w:p w:rsidR="002F2A46" w:rsidRPr="000218A0" w:rsidRDefault="002F2A46" w:rsidP="003A3553">
            <w:pPr>
              <w:pStyle w:val="Normal6"/>
              <w:rPr>
                <w:noProof/>
                <w:szCs w:val="24"/>
              </w:rPr>
            </w:pPr>
            <w:r w:rsidRPr="000218A0">
              <w:t>(4)</w:t>
            </w:r>
            <w:r w:rsidRPr="000218A0">
              <w:tab/>
              <w:t>L’annexe II du règlement (UE) n° 1308/2013 établit certaines définitions concernant des secteurs relevant du champ d’application de ce règlement. Il y a lieu de supprimer les définitions relatives au secteur du sucre figurant dans la partie II, section B, de ladite annexe parce qu’elles ne sont plus applicables. Afin de mettre à jour les définitions concernant d’autres secteurs visés dans cette annexe, à la lumière des nouvelles connaissances scientifiques et de l’évolution du marché, le pouvoir d’adopter des actes conformément à l’article 290 du traité sur le fonctionnement de l’Union européenne devrait être délégué à la Commission en ce qui concerne la modification de ces définitions. Il importe particulièrement que la Commission procède aux consultations appropriées durant son travail préparatoire, y compris au niveau des experts</w:t>
            </w:r>
            <w:r w:rsidRPr="000218A0">
              <w:rPr>
                <w:b/>
                <w:i/>
              </w:rPr>
              <w:t xml:space="preserve"> mais aussi des organismes des États qui sont affectés par les modifications</w:t>
            </w:r>
            <w:r w:rsidRPr="000218A0">
              <w:t>. Il convient que, lorsqu'elle prépare et élabore des actes délégués, la Commission veille à ce que les documents pertinents soient transmis simultanément, en temps utile et de façon appropriée, au Parlement européen et au Conseil. La délégation de pouvoir à la Commission prévue dans la partie II, section A, point 4, de cette annexe pour modifier la définition du sirop d’inuline devrait, par conséquent, être supprimée.</w:t>
            </w:r>
          </w:p>
        </w:tc>
      </w:tr>
    </w:tbl>
    <w:p w:rsidR="002F2A46" w:rsidRPr="00A53FF9" w:rsidRDefault="002F2A46" w:rsidP="002F2A46">
      <w:pPr>
        <w:pStyle w:val="Olang"/>
        <w:rPr>
          <w:szCs w:val="24"/>
        </w:rPr>
      </w:pPr>
      <w:r w:rsidRPr="000218A0">
        <w:t xml:space="preserve">Or. </w:t>
      </w:r>
      <w:r w:rsidRPr="00AB4570">
        <w:rPr>
          <w:rStyle w:val="HideTWBExt"/>
        </w:rPr>
        <w:t>&lt;Original&gt;</w:t>
      </w:r>
      <w:r w:rsidRPr="00AB4570">
        <w:rPr>
          <w:rStyle w:val="HideTWBInt"/>
        </w:rPr>
        <w:t>{EL}</w:t>
      </w:r>
      <w:r w:rsidRPr="000218A0">
        <w:t>el</w:t>
      </w:r>
      <w:r w:rsidRPr="00AB4570">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119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4</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(4)</w:t>
            </w:r>
            <w:r w:rsidRPr="00A53FF9">
              <w:tab/>
              <w:t xml:space="preserve">L’annexe II du règlement (UE) n° 1308/2013 établit certaines définitions concernant des secteurs relevant du champ d’application de ce règlement. Il y a lieu de supprimer les définitions relatives au secteur du sucre figurant dans la partie II, section B, de ladite annexe parce qu’elles ne sont plus applicables. Afin de mettre à jour les définitions concernant d’autres secteurs visés dans cette annexe, à la lumière des nouvelles connaissances scientifiques et de l’évolution du marché, le pouvoir d’adopter des actes conformément à l’article 290 du traité sur le fonctionnement de l’Union européenne devrait être délégué à la Commission en ce qui concerne la </w:t>
            </w:r>
            <w:r w:rsidRPr="00A53FF9">
              <w:rPr>
                <w:b/>
                <w:i/>
              </w:rPr>
              <w:t>modification</w:t>
            </w:r>
            <w:r w:rsidRPr="00A53FF9">
              <w:t xml:space="preserve"> de ces définitions.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 La délégation de pouvoir à la Commission prévue dans la partie II, section A, point 4, de cette annexe pour modifier la définition du sirop d’inuline devrait, par conséquent, être supprimée.</w:t>
            </w:r>
          </w:p>
        </w:tc>
        <w:tc>
          <w:tcPr>
            <w:tcW w:w="4876" w:type="dxa"/>
            <w:hideMark/>
          </w:tcPr>
          <w:p w:rsidR="002F2A46" w:rsidRPr="00A53FF9" w:rsidRDefault="002F2A46" w:rsidP="003A3553">
            <w:pPr>
              <w:pStyle w:val="Normal6"/>
              <w:rPr>
                <w:szCs w:val="24"/>
              </w:rPr>
            </w:pPr>
            <w:r w:rsidRPr="00A53FF9">
              <w:t>(4)</w:t>
            </w:r>
            <w:r w:rsidRPr="00A53FF9">
              <w:tab/>
              <w:t xml:space="preserve">L’annexe II du règlement (UE) n° 1308/2013 établit certaines définitions concernant des secteurs relevant du champ d’application de ce règlement. Il y a lieu de supprimer les définitions relatives au secteur du sucre figurant dans la partie II, section B, de ladite annexe parce qu’elles ne sont plus applicables. Afin de mettre à jour les définitions concernant d’autres secteurs visés dans cette annexe, à la lumière des nouvelles connaissances scientifiques et de l’évolution du marché, le pouvoir d’adopter des actes conformément à l’article 290 du traité sur le fonctionnement de l’Union européenne devrait être délégué à la Commission en ce qui concerne la </w:t>
            </w:r>
            <w:r w:rsidRPr="00A53FF9">
              <w:rPr>
                <w:b/>
                <w:i/>
              </w:rPr>
              <w:t>mise à jour</w:t>
            </w:r>
            <w:r w:rsidRPr="00A53FF9">
              <w:t xml:space="preserve"> de ces définitions</w:t>
            </w:r>
            <w:r w:rsidRPr="00A53FF9">
              <w:rPr>
                <w:b/>
                <w:i/>
              </w:rPr>
              <w:t>, sans pour autant en ajouter de nouvelles</w:t>
            </w:r>
            <w:r w:rsidRPr="00A53FF9">
              <w:t>.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 La délégation de pouvoir à la Commission prévue dans la partie II, section A, point 4, de cette annexe pour modifier la définition du sirop d’inuline devrait, par conséquent, être supprimée.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clarifier que l'habilitation de pouvoir a pour objet la mise en jour des définitions dans la mesure du possible en fonction de l'évolution du marché.</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120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(6)</w:t>
            </w:r>
            <w:r w:rsidRPr="00DE5BAE">
              <w:tab/>
              <w:t>Il convient d’actualiser les limites de l’aide de l’Union à la fourniture de fruits et légumes ainsi que de lait et de produits laitiers aux établissements scolaires, figurant à l’article 23, point a), du règlement (UE) n° 1308/2013.</w:t>
            </w:r>
          </w:p>
        </w:tc>
        <w:tc>
          <w:tcPr>
            <w:tcW w:w="4876" w:type="dxa"/>
            <w:hideMark/>
          </w:tcPr>
          <w:p w:rsidR="002F2A46" w:rsidRPr="00DE5BAE" w:rsidRDefault="002F2A46" w:rsidP="003A3553">
            <w:pPr>
              <w:pStyle w:val="Normal6"/>
              <w:rPr>
                <w:noProof/>
                <w:szCs w:val="24"/>
              </w:rPr>
            </w:pPr>
            <w:r w:rsidRPr="00DE5BAE">
              <w:t>(6)</w:t>
            </w:r>
            <w:r w:rsidRPr="00DE5BAE">
              <w:tab/>
              <w:t xml:space="preserve">Il convient d’actualiser les limites de l’aide de l’Union à la fourniture de fruits et légumes ainsi que de lait et de produits laitiers aux établissements scolaires, figurant à l’article 23, point a), du règlement (UE) n° 1308/2013. </w:t>
            </w:r>
            <w:r w:rsidRPr="00DE5BAE">
              <w:rPr>
                <w:b/>
                <w:i/>
              </w:rPr>
              <w:t>Les produits destinés au programme mentionné doivent relever de circuits d'approvisionnement courts.</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121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6</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(6)</w:t>
            </w:r>
            <w:r w:rsidRPr="00421CE3">
              <w:tab/>
              <w:t xml:space="preserve">Il convient </w:t>
            </w:r>
            <w:r w:rsidRPr="00421CE3">
              <w:rPr>
                <w:b/>
                <w:i/>
              </w:rPr>
              <w:t>d’actualiser</w:t>
            </w:r>
            <w:r w:rsidRPr="00421CE3">
              <w:t xml:space="preserve"> les limites de l’aide de l’Union à la fourniture de fruits et légumes ainsi que de lait et de produits laitiers aux établissements scolaires, figurant à l’article 23, point a), du règlement (UE) n° 1308/2013.</w:t>
            </w:r>
          </w:p>
        </w:tc>
        <w:tc>
          <w:tcPr>
            <w:tcW w:w="4876" w:type="dxa"/>
            <w:hideMark/>
          </w:tcPr>
          <w:p w:rsidR="002F2A46" w:rsidRPr="00421CE3" w:rsidRDefault="002F2A46" w:rsidP="003A3553">
            <w:pPr>
              <w:pStyle w:val="Normal6"/>
              <w:rPr>
                <w:noProof/>
                <w:szCs w:val="24"/>
              </w:rPr>
            </w:pPr>
            <w:r w:rsidRPr="00421CE3">
              <w:t>(6)</w:t>
            </w:r>
            <w:r w:rsidRPr="00421CE3">
              <w:tab/>
              <w:t xml:space="preserve">Il convient </w:t>
            </w:r>
            <w:r w:rsidRPr="00421CE3">
              <w:rPr>
                <w:b/>
                <w:i/>
              </w:rPr>
              <w:t>de relever</w:t>
            </w:r>
            <w:r w:rsidRPr="00421CE3">
              <w:t xml:space="preserve"> les limites de l’aide de l’Union à la fourniture de fruits et légumes ainsi que de lait et de produits laitiers aux établissements scolaires, figurant à l’article 23, point a), du règlement (UE) n° 1308/2013.</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Il nous faut à tout le moins maintenir les fonds de l’Union en faveur des programmes à destination des écoles, mais il est préférable de les augmenter.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122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Miguel Viegas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(8)</w:t>
            </w:r>
            <w:r w:rsidRPr="005828C1">
              <w:tab/>
              <w:t xml:space="preserve">Compte tenu de la diminution de la superficie effectivement plantée en vigne dans plusieurs États membres au cours de la période 2014-2017, et dans la perspective de la perte potentielle de production qui s’ensuit, </w:t>
            </w:r>
            <w:r w:rsidRPr="005828C1">
              <w:rPr>
                <w:b/>
                <w:i/>
              </w:rPr>
              <w:t>lors de l’établissement de la zone pour les autorisations</w:t>
            </w:r>
            <w:r w:rsidRPr="005828C1">
              <w:t xml:space="preserve"> de </w:t>
            </w:r>
            <w:r w:rsidRPr="005828C1">
              <w:rPr>
                <w:b/>
                <w:i/>
              </w:rPr>
              <w:t>nouvelles plantations visées à l’article 63, paragraphe 1, du règlement (UE) n° 1308/2013, les États membres devraient</w:t>
            </w:r>
            <w:r w:rsidRPr="005828C1">
              <w:t xml:space="preserve"> être </w:t>
            </w:r>
            <w:r w:rsidRPr="005828C1">
              <w:rPr>
                <w:b/>
                <w:i/>
              </w:rPr>
              <w:t>en mesure de choisir entre les bases existantes et</w:t>
            </w:r>
            <w:r w:rsidRPr="005828C1">
              <w:t xml:space="preserve"> un </w:t>
            </w:r>
            <w:r w:rsidRPr="005828C1">
              <w:rPr>
                <w:b/>
                <w:i/>
              </w:rPr>
              <w:t>pourcentage</w:t>
            </w:r>
            <w:r w:rsidRPr="005828C1">
              <w:t xml:space="preserve"> de </w:t>
            </w:r>
            <w:r w:rsidRPr="005828C1">
              <w:rPr>
                <w:b/>
                <w:i/>
              </w:rPr>
              <w:t>la superficie totale effectivement plantée en vigne sur leur territoire au 31 juillet 2015</w:t>
            </w:r>
            <w:r w:rsidRPr="005828C1">
              <w:t xml:space="preserve">, </w:t>
            </w:r>
            <w:r w:rsidRPr="005828C1">
              <w:rPr>
                <w:b/>
                <w:i/>
              </w:rPr>
              <w:t>majorés d’une superficie correspondant aux droits de plantation disponibles au titre du règlement (CE) n° 1234/2007 en vue de</w:t>
            </w:r>
            <w:r w:rsidRPr="005828C1">
              <w:t xml:space="preserve"> la </w:t>
            </w:r>
            <w:r w:rsidRPr="005828C1">
              <w:rPr>
                <w:b/>
                <w:i/>
              </w:rPr>
              <w:t>transformation en autorisations dans l’État membre concerné le 1er janvier 2016.</w:t>
            </w:r>
          </w:p>
        </w:tc>
        <w:tc>
          <w:tcPr>
            <w:tcW w:w="4876" w:type="dxa"/>
            <w:hideMark/>
          </w:tcPr>
          <w:p w:rsidR="002F2A46" w:rsidRPr="005828C1" w:rsidRDefault="002F2A46" w:rsidP="003A3553">
            <w:pPr>
              <w:pStyle w:val="Normal6"/>
              <w:rPr>
                <w:noProof/>
                <w:szCs w:val="24"/>
              </w:rPr>
            </w:pPr>
            <w:r w:rsidRPr="005828C1">
              <w:t>(8)</w:t>
            </w:r>
            <w:r w:rsidRPr="005828C1">
              <w:tab/>
              <w:t xml:space="preserve">Compte tenu de la diminution de la superficie effectivement plantée en vigne dans plusieurs États membres au cours de la période 2014-2017, et dans la perspective de la perte potentielle de production qui s’ensuit, </w:t>
            </w:r>
            <w:r w:rsidRPr="005828C1">
              <w:rPr>
                <w:b/>
                <w:i/>
              </w:rPr>
              <w:t>l’assouplissement en cours des droits</w:t>
            </w:r>
            <w:r w:rsidRPr="005828C1">
              <w:t xml:space="preserve"> de </w:t>
            </w:r>
            <w:r w:rsidRPr="005828C1">
              <w:rPr>
                <w:b/>
                <w:i/>
              </w:rPr>
              <w:t>plantation devrait</w:t>
            </w:r>
            <w:r w:rsidRPr="005828C1">
              <w:t xml:space="preserve"> être </w:t>
            </w:r>
            <w:r w:rsidRPr="005828C1">
              <w:rPr>
                <w:b/>
                <w:i/>
              </w:rPr>
              <w:t>interrompu et remplacé par</w:t>
            </w:r>
            <w:r w:rsidRPr="005828C1">
              <w:t xml:space="preserve"> un </w:t>
            </w:r>
            <w:r w:rsidRPr="005828C1">
              <w:rPr>
                <w:b/>
                <w:i/>
              </w:rPr>
              <w:t>modèle</w:t>
            </w:r>
            <w:r w:rsidRPr="005828C1">
              <w:t xml:space="preserve"> de </w:t>
            </w:r>
            <w:r w:rsidRPr="005828C1">
              <w:rPr>
                <w:b/>
                <w:i/>
              </w:rPr>
              <w:t>régulation de l’offre qui garantisse la production dans tous les États membres</w:t>
            </w:r>
            <w:r w:rsidRPr="005828C1">
              <w:t xml:space="preserve">, </w:t>
            </w:r>
            <w:r w:rsidRPr="005828C1">
              <w:rPr>
                <w:b/>
                <w:i/>
              </w:rPr>
              <w:t>et préserve ainsi la diversité et</w:t>
            </w:r>
            <w:r w:rsidRPr="005828C1">
              <w:t xml:space="preserve"> la </w:t>
            </w:r>
            <w:r w:rsidRPr="005828C1">
              <w:rPr>
                <w:b/>
                <w:i/>
              </w:rPr>
              <w:t>qualité du secteur européen.</w:t>
            </w:r>
            <w:r w:rsidRPr="005828C1">
              <w:t xml:space="preserve"> </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{PT}</w:t>
      </w:r>
      <w:r w:rsidRPr="00CD03D8">
        <w:rPr>
          <w:lang w:val="en-GB"/>
        </w:rPr>
        <w:t>pt</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123</w:t>
      </w:r>
      <w:r w:rsidRPr="00CD03D8">
        <w:rPr>
          <w:rStyle w:val="HideTWBExt"/>
          <w:b w:val="0"/>
          <w:lang w:val="en-GB"/>
        </w:rPr>
        <w:t>&lt;/NumAm&gt;</w:t>
      </w:r>
    </w:p>
    <w:p w:rsidR="002F2A46" w:rsidRPr="00CD03D8" w:rsidRDefault="002F2A46" w:rsidP="002F2A46">
      <w:pPr>
        <w:pStyle w:val="NormalBold"/>
        <w:rPr>
          <w:lang w:val="en-GB"/>
        </w:rPr>
      </w:pPr>
      <w:r w:rsidRPr="00CD03D8">
        <w:rPr>
          <w:rStyle w:val="HideTWBExt"/>
          <w:b w:val="0"/>
          <w:lang w:val="en-GB"/>
        </w:rPr>
        <w:t>&lt;RepeatBlock-By&gt;&lt;Members&gt;</w:t>
      </w:r>
      <w:r w:rsidRPr="00CD03D8">
        <w:rPr>
          <w:lang w:val="en-GB"/>
        </w:rPr>
        <w:t>Michel Dantin</w:t>
      </w:r>
      <w:r w:rsidRPr="00CD03D8">
        <w:rPr>
          <w:rStyle w:val="HideTWBExt"/>
          <w:b w:val="0"/>
          <w:lang w:val="en-GB"/>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8</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(8)</w:t>
            </w:r>
            <w:r w:rsidRPr="00A53FF9">
              <w:tab/>
              <w:t xml:space="preserve">Compte </w:t>
            </w:r>
            <w:r w:rsidRPr="00A53FF9">
              <w:rPr>
                <w:b/>
                <w:i/>
              </w:rPr>
              <w:t>tenu</w:t>
            </w:r>
            <w:r w:rsidRPr="00A53FF9">
              <w:t xml:space="preserve"> de la diminution de la superficie effectivement plantée en vigne dans plusieurs États membres au cours de la période 2014-2017, et dans la perspective de la perte potentielle de production qui s’ensuit,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w:t>
            </w:r>
            <w:r w:rsidRPr="00A53FF9">
              <w:rPr>
                <w:vertAlign w:val="superscript"/>
              </w:rPr>
              <w:t>er</w:t>
            </w:r>
            <w:r w:rsidRPr="00A53FF9">
              <w:t xml:space="preserve"> janvier 2016.</w:t>
            </w:r>
          </w:p>
        </w:tc>
        <w:tc>
          <w:tcPr>
            <w:tcW w:w="4876" w:type="dxa"/>
            <w:hideMark/>
          </w:tcPr>
          <w:p w:rsidR="002F2A46" w:rsidRPr="00A53FF9" w:rsidRDefault="002F2A46" w:rsidP="003A3553">
            <w:pPr>
              <w:pStyle w:val="Normal6"/>
              <w:rPr>
                <w:szCs w:val="24"/>
              </w:rPr>
            </w:pPr>
            <w:r w:rsidRPr="00A53FF9">
              <w:t>(8)</w:t>
            </w:r>
            <w:r w:rsidRPr="00A53FF9">
              <w:tab/>
            </w:r>
            <w:r w:rsidRPr="00A53FF9">
              <w:rPr>
                <w:b/>
                <w:i/>
              </w:rPr>
              <w:t>Sans remettre en cause le constat qu'une augmentation trop rapide de nouvelles plantations de vigne pour répondre à l'évolution prévue de la demande internationale pourrait conduire à nouveau à une situation de surcapacité d'offre à moyen terme, il convient de tenir</w:t>
            </w:r>
            <w:r w:rsidRPr="00A53FF9">
              <w:t xml:space="preserve"> compte de la diminution de la superficie effectivement plantée en vigne dans plusieurs États membres au cours de la période 2014-2017, et dans la perspective de la perte potentielle de production qui s’ensuit,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w:t>
            </w:r>
            <w:r w:rsidRPr="00A53FF9">
              <w:rPr>
                <w:vertAlign w:val="superscript"/>
              </w:rPr>
              <w:t>er</w:t>
            </w:r>
            <w:r w:rsidRPr="00A53FF9">
              <w:t xml:space="preserve"> janvier 2016.</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rappeler quel a été la situation qui a mener à maintenir de manière durable un système d'autorisation de plantations dans le secteur vitivinicole.</w:t>
      </w:r>
    </w:p>
    <w:p w:rsidR="002F2A46" w:rsidRPr="00CD03D8" w:rsidRDefault="002F2A46" w:rsidP="002F2A46">
      <w:pPr>
        <w:rPr>
          <w:lang w:val="de-DE"/>
        </w:rPr>
      </w:pPr>
      <w:r w:rsidRPr="00CD03D8">
        <w:rPr>
          <w:rStyle w:val="HideTWBExt"/>
          <w:lang w:val="de-DE"/>
        </w:rPr>
        <w:t>&lt;/Amend&gt;</w:t>
      </w:r>
    </w:p>
    <w:p w:rsidR="002F2A46" w:rsidRPr="00CD03D8" w:rsidRDefault="002F2A46" w:rsidP="002F2A46">
      <w:pPr>
        <w:pStyle w:val="AMNumberTabs"/>
        <w:keepNext/>
        <w:rPr>
          <w:noProof/>
          <w:lang w:val="de-DE"/>
        </w:rPr>
      </w:pPr>
      <w:r w:rsidRPr="00CD03D8">
        <w:rPr>
          <w:rStyle w:val="HideTWBExt"/>
          <w:b w:val="0"/>
          <w:lang w:val="de-DE"/>
        </w:rPr>
        <w:t>&lt;Amend&gt;</w:t>
      </w:r>
      <w:r w:rsidRPr="00CD03D8">
        <w:rPr>
          <w:lang w:val="de-DE"/>
        </w:rPr>
        <w:t>Amendement</w:t>
      </w:r>
      <w:r w:rsidRPr="00CD03D8">
        <w:rPr>
          <w:lang w:val="de-DE"/>
        </w:rPr>
        <w:tab/>
      </w:r>
      <w:r w:rsidRPr="00CD03D8">
        <w:rPr>
          <w:lang w:val="de-DE"/>
        </w:rPr>
        <w:tab/>
      </w:r>
      <w:r w:rsidRPr="00CD03D8">
        <w:rPr>
          <w:rStyle w:val="HideTWBExt"/>
          <w:b w:val="0"/>
          <w:lang w:val="de-DE"/>
        </w:rPr>
        <w:t>&lt;NumAm&gt;</w:t>
      </w:r>
      <w:r w:rsidRPr="00CD03D8">
        <w:rPr>
          <w:lang w:val="de-DE"/>
        </w:rPr>
        <w:t>124</w:t>
      </w:r>
      <w:r w:rsidRPr="00CD03D8">
        <w:rPr>
          <w:rStyle w:val="HideTWBExt"/>
          <w:b w:val="0"/>
          <w:lang w:val="de-DE"/>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Daniel Buda</w:t>
      </w:r>
      <w:r w:rsidRPr="00CD03D8">
        <w:rPr>
          <w:rStyle w:val="HideTWBExt"/>
          <w:b w:val="0"/>
          <w:lang w:val="en-GB"/>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(8)</w:t>
            </w:r>
            <w:r w:rsidRPr="00DE5BAE">
              <w:tab/>
              <w:t>Compte tenu de la diminution de la superficie effectivement plantée en vigne dans plusieurs États membres au cours de la période 2014-2017, et dans la perspective de la perte potentielle de production qui s’ensuit,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1er janvier 2016.</w:t>
            </w:r>
          </w:p>
        </w:tc>
        <w:tc>
          <w:tcPr>
            <w:tcW w:w="4876" w:type="dxa"/>
            <w:hideMark/>
          </w:tcPr>
          <w:p w:rsidR="002F2A46" w:rsidRPr="00DE5BAE" w:rsidRDefault="002F2A46" w:rsidP="003A3553">
            <w:pPr>
              <w:pStyle w:val="Normal6"/>
              <w:rPr>
                <w:noProof/>
                <w:szCs w:val="24"/>
              </w:rPr>
            </w:pPr>
            <w:r w:rsidRPr="00DE5BAE">
              <w:t>(8)</w:t>
            </w:r>
            <w:r w:rsidRPr="00DE5BAE">
              <w:tab/>
              <w:t xml:space="preserve">Compte tenu de la diminution de la superficie effectivement plantée en vigne dans plusieurs États membres au cours de la période 2014-2017, et dans la perspective de la perte potentielle de production qui s’ensuit,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1er janvier 2016. </w:t>
            </w:r>
            <w:r w:rsidRPr="00DE5BAE">
              <w:rPr>
                <w:b/>
                <w:i/>
              </w:rPr>
              <w:t>Les États membres doivent avoir la possibilité de développer des superficies plantées en vigne dans des régions viticoles en fonction de leurs zones de tradition.</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noProof/>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125</w:t>
      </w:r>
      <w:r w:rsidRPr="00CD03D8">
        <w:rPr>
          <w:rStyle w:val="HideTWBExt"/>
          <w:b w:val="0"/>
          <w:lang w:val="en-GB"/>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Nuno Melo</w:t>
      </w:r>
      <w:r w:rsidRPr="00CD03D8">
        <w:rPr>
          <w:rStyle w:val="HideTWBExt"/>
          <w:b w:val="0"/>
          <w:lang w:val="en-GB"/>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8</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(8)</w:t>
            </w:r>
            <w:r w:rsidRPr="00421CE3">
              <w:tab/>
              <w:t xml:space="preserve">Compte tenu de la diminution de la superficie effectivement plantée en vigne </w:t>
            </w:r>
            <w:r w:rsidRPr="00421CE3">
              <w:rPr>
                <w:b/>
                <w:i/>
              </w:rPr>
              <w:t xml:space="preserve">dans plusieurs États membres au cours de la période 2014-2017, </w:t>
            </w:r>
            <w:r w:rsidRPr="00421CE3">
              <w:t xml:space="preserve">et dans la perspective de la perte potentielle de production qui </w:t>
            </w:r>
            <w:r w:rsidRPr="00421CE3">
              <w:rPr>
                <w:b/>
                <w:i/>
              </w:rPr>
              <w:t>s’ensuit</w:t>
            </w:r>
            <w:r w:rsidRPr="00421CE3">
              <w: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1er janvier 2016.</w:t>
            </w:r>
          </w:p>
        </w:tc>
        <w:tc>
          <w:tcPr>
            <w:tcW w:w="4876" w:type="dxa"/>
            <w:hideMark/>
          </w:tcPr>
          <w:p w:rsidR="002F2A46" w:rsidRPr="00421CE3" w:rsidRDefault="002F2A46" w:rsidP="003A3553">
            <w:pPr>
              <w:pStyle w:val="Normal6"/>
              <w:rPr>
                <w:noProof/>
                <w:szCs w:val="24"/>
              </w:rPr>
            </w:pPr>
            <w:r w:rsidRPr="00421CE3">
              <w:t>(8)</w:t>
            </w:r>
            <w:r w:rsidRPr="00421CE3">
              <w:tab/>
              <w:t xml:space="preserve">Compte tenu de la </w:t>
            </w:r>
            <w:r w:rsidRPr="00421CE3">
              <w:rPr>
                <w:b/>
                <w:i/>
              </w:rPr>
              <w:t xml:space="preserve">possible </w:t>
            </w:r>
            <w:r w:rsidRPr="00421CE3">
              <w:t xml:space="preserve">diminution de la superficie effectivement plantée en vigne et dans la perspective de la perte potentielle de production qui </w:t>
            </w:r>
            <w:r w:rsidRPr="00421CE3">
              <w:rPr>
                <w:b/>
                <w:i/>
              </w:rPr>
              <w:t>pourrait s’ensuivre</w:t>
            </w:r>
            <w:r w:rsidRPr="00421CE3">
              <w:t>, lors de l’établissement de la zone pour les autorisations de nouvelles plantations visées à l’article 63, paragraphe 1, du règlement (UE) n° 1308/2013, les États membres devraient être en mesure de choisir entre les bases existantes et un pourcentage de la superficie totale effectivement plantée en vigne sur leur territoire au 31 juillet 2015, majorés d’une superficie correspondant aux droits de plantation disponibles au titre du règlement (CE) n° 1234/2007 en vue de la transformation en autorisations dans l’État membre concerné le 1er janvier 2016.</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{EN}</w:t>
      </w:r>
      <w:r w:rsidRPr="00CD03D8">
        <w:rPr>
          <w:lang w:val="en-GB"/>
        </w:rPr>
        <w:t>en</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126</w:t>
      </w:r>
      <w:r w:rsidRPr="00CD03D8">
        <w:rPr>
          <w:rStyle w:val="HideTWBExt"/>
          <w:b w:val="0"/>
          <w:lang w:val="en-GB"/>
        </w:rPr>
        <w:t>&lt;/NumAm&gt;</w:t>
      </w:r>
    </w:p>
    <w:p w:rsidR="002F2A46" w:rsidRPr="00CD03D8" w:rsidRDefault="002F2A46" w:rsidP="002F2A46">
      <w:pPr>
        <w:pStyle w:val="NormalBold"/>
        <w:rPr>
          <w:lang w:val="en-GB"/>
        </w:rPr>
      </w:pPr>
      <w:r w:rsidRPr="00CD03D8">
        <w:rPr>
          <w:rStyle w:val="HideTWBExt"/>
          <w:b w:val="0"/>
          <w:lang w:val="en-GB"/>
        </w:rPr>
        <w:t>&lt;RepeatBlock-By&gt;&lt;Members&gt;</w:t>
      </w:r>
      <w:r w:rsidRPr="00CD03D8">
        <w:rPr>
          <w:lang w:val="en-GB"/>
        </w:rPr>
        <w:t>Michel Dantin</w:t>
      </w:r>
      <w:r w:rsidRPr="00CD03D8">
        <w:rPr>
          <w:rStyle w:val="HideTWBExt"/>
          <w:b w:val="0"/>
          <w:lang w:val="en-GB"/>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8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(8 bis)</w:t>
            </w:r>
            <w:r w:rsidRPr="00A53FF9">
              <w:rPr>
                <w:b/>
                <w:i/>
              </w:rPr>
              <w:tab/>
              <w:t>Afin de lutter contre les cas de contournement non-prévu dans le présent règlement, il convient d'autoriser les États membres à pouvoir adopter des mesures permettant d'éviter le contournement des critères d'éligibilité ou de priorité par des demandeurs dont les actions ne serait pas déjà couvertes par les dispositions spécifiques visant à éviter les contournements prévus par le présent règlement en ce qui concerne les critères d'éligibilité et de priorité spécifiques.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les modifications introduites aux articles 63 et 64 autorisant les Etats membres à disposer de leur pouvoir réglementaire pour s’assurer que les opérateurs ne cherchent pas à contourner les mesures de restrictions d’une part et les critères d’éligibilité et de priorité d’autre part.</w:t>
      </w:r>
    </w:p>
    <w:p w:rsidR="002F2A46" w:rsidRPr="00CD03D8" w:rsidRDefault="002F2A46" w:rsidP="002F2A46">
      <w:pPr>
        <w:rPr>
          <w:lang w:val="de-DE"/>
        </w:rPr>
      </w:pPr>
      <w:r w:rsidRPr="00CD03D8">
        <w:rPr>
          <w:rStyle w:val="HideTWBExt"/>
          <w:lang w:val="de-DE"/>
        </w:rPr>
        <w:t>&lt;/Amend&gt;</w:t>
      </w:r>
    </w:p>
    <w:p w:rsidR="002F2A46" w:rsidRPr="0011491A" w:rsidRDefault="002F2A46" w:rsidP="002F2A46">
      <w:pPr>
        <w:pStyle w:val="AMNumberTabs"/>
        <w:keepNext/>
        <w:rPr>
          <w:noProof/>
          <w:lang w:val="de-DE"/>
        </w:rPr>
      </w:pPr>
      <w:r w:rsidRPr="0011491A">
        <w:rPr>
          <w:rStyle w:val="HideTWBExt"/>
          <w:b w:val="0"/>
          <w:lang w:val="de-DE"/>
        </w:rPr>
        <w:t>&lt;Amend&gt;</w:t>
      </w:r>
      <w:r w:rsidRPr="0011491A">
        <w:rPr>
          <w:lang w:val="de-DE"/>
        </w:rPr>
        <w:t>Amendement</w:t>
      </w:r>
      <w:r w:rsidRPr="0011491A">
        <w:rPr>
          <w:lang w:val="de-DE"/>
        </w:rPr>
        <w:tab/>
      </w:r>
      <w:r w:rsidRPr="0011491A">
        <w:rPr>
          <w:lang w:val="de-DE"/>
        </w:rPr>
        <w:tab/>
      </w:r>
      <w:r w:rsidRPr="0011491A">
        <w:rPr>
          <w:rStyle w:val="HideTWBExt"/>
          <w:b w:val="0"/>
          <w:lang w:val="de-DE"/>
        </w:rPr>
        <w:t>&lt;NumAm&gt;</w:t>
      </w:r>
      <w:r w:rsidRPr="0011491A">
        <w:rPr>
          <w:lang w:val="de-DE"/>
        </w:rPr>
        <w:t>127</w:t>
      </w:r>
      <w:r w:rsidRPr="0011491A">
        <w:rPr>
          <w:rStyle w:val="HideTWBExt"/>
          <w:b w:val="0"/>
          <w:lang w:val="de-DE"/>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Herbert Dorfmann</w:t>
      </w:r>
      <w:r w:rsidRPr="00CD03D8">
        <w:rPr>
          <w:rStyle w:val="HideTWBExt"/>
          <w:b w:val="0"/>
          <w:lang w:val="en-GB"/>
        </w:rPr>
        <w:t>&lt;/Members&gt;</w:t>
      </w:r>
    </w:p>
    <w:p w:rsidR="002F2A46" w:rsidRPr="00CD03D8" w:rsidRDefault="002F2A46" w:rsidP="002F2A46">
      <w:pPr>
        <w:rPr>
          <w:noProof/>
        </w:rPr>
      </w:pPr>
      <w:r w:rsidRPr="00CD03D8">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(8 bis)</w:t>
            </w:r>
            <w:r w:rsidRPr="00421CE3">
              <w:rPr>
                <w:b/>
                <w:i/>
              </w:rPr>
              <w:tab/>
              <w:t>Pour éviter les potentielles pertes de production, il convient de permettre aux États membres de constituer des réserves nationales ou régionales.</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{EN}</w:t>
      </w:r>
      <w:r w:rsidRPr="00CD03D8">
        <w:rPr>
          <w:lang w:val="en-GB"/>
        </w:rPr>
        <w:t>en</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noProof/>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128</w:t>
      </w:r>
      <w:r w:rsidRPr="00CD03D8">
        <w:rPr>
          <w:rStyle w:val="HideTWBExt"/>
          <w:b w:val="0"/>
          <w:lang w:val="en-GB"/>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Esther Herranz García, Gabriel Mato, Ramón Luis Valcárcel Siso, Esteban González Pons</w:t>
      </w:r>
      <w:r w:rsidRPr="00CD03D8">
        <w:rPr>
          <w:rStyle w:val="HideTWBExt"/>
          <w:b w:val="0"/>
          <w:lang w:val="en-GB"/>
        </w:rPr>
        <w:t>&lt;/Members&gt;</w:t>
      </w:r>
    </w:p>
    <w:p w:rsidR="002F2A46" w:rsidRPr="00CD03D8" w:rsidRDefault="002F2A46" w:rsidP="002F2A46">
      <w:pPr>
        <w:rPr>
          <w:noProof/>
        </w:rPr>
      </w:pPr>
      <w:r w:rsidRPr="00CD03D8">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(9)</w:t>
            </w:r>
            <w:r w:rsidRPr="00094D6B">
              <w:rPr>
                <w:b/>
                <w:i/>
              </w:rPr>
              <w:tab/>
              <w:t>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094D6B" w:rsidRDefault="002F2A46" w:rsidP="003A3553">
            <w:pPr>
              <w:pStyle w:val="Normal6"/>
              <w:rPr>
                <w:noProof/>
                <w:szCs w:val="24"/>
              </w:rPr>
            </w:pPr>
            <w:r w:rsidRPr="00094D6B">
              <w:rPr>
                <w:b/>
                <w:i/>
              </w:rPr>
              <w:t>supprimé</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129</w:t>
      </w:r>
      <w:r w:rsidRPr="00A53FF9">
        <w:rPr>
          <w:rStyle w:val="HideTWBExt"/>
          <w:b w:val="0"/>
        </w:rPr>
        <w:t>&lt;/NumAm&gt;</w:t>
      </w:r>
    </w:p>
    <w:p w:rsidR="002F2A46" w:rsidRPr="00CD03D8" w:rsidRDefault="002F2A46" w:rsidP="002F2A46">
      <w:pPr>
        <w:pStyle w:val="NormalBold"/>
        <w:rPr>
          <w:lang w:val="en-GB"/>
        </w:rPr>
      </w:pPr>
      <w:r w:rsidRPr="00CD03D8">
        <w:rPr>
          <w:rStyle w:val="HideTWBExt"/>
          <w:b w:val="0"/>
          <w:lang w:val="en-GB"/>
        </w:rPr>
        <w:t>&lt;RepeatBlock-By&gt;&lt;Members&gt;</w:t>
      </w:r>
      <w:r w:rsidRPr="00CD03D8">
        <w:rPr>
          <w:lang w:val="en-GB"/>
        </w:rPr>
        <w:t>Michel Dantin</w:t>
      </w:r>
      <w:r w:rsidRPr="00CD03D8">
        <w:rPr>
          <w:rStyle w:val="HideTWBExt"/>
          <w:b w:val="0"/>
          <w:lang w:val="en-GB"/>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9</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(9)</w:t>
            </w:r>
            <w:r w:rsidRPr="00A53FF9">
              <w:rPr>
                <w:b/>
                <w:i/>
              </w:rPr>
              <w:tab/>
              <w:t>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rejeter la proposition de la Commission européenne visant à autoriser l'utilisation de cépages de l'espèce Vitis Labrusca ainsi que de six cépages jusqu'à présent interdits au sein de l'UE pour des raisons sanitaires et qualitatives. La variété Vitis Labrusa n’a pas été étudiée suffisamment et analysée en dehors des instituts de recherches européens. Enfin cette levée d'interdiction pourrait également avoir des conséquences en matière d'accords commerciaux qui ne sont pas étudiées dans l'analyse d'impact de la proposition de la Commission.</w:t>
      </w:r>
    </w:p>
    <w:p w:rsidR="002F2A46" w:rsidRPr="00CD03D8" w:rsidRDefault="002F2A46" w:rsidP="002F2A46">
      <w:pPr>
        <w:rPr>
          <w:lang w:val="de-DE"/>
        </w:rPr>
      </w:pPr>
      <w:r w:rsidRPr="00CD03D8">
        <w:rPr>
          <w:rStyle w:val="HideTWBExt"/>
          <w:lang w:val="de-DE"/>
        </w:rPr>
        <w:t>&lt;/Amend&gt;</w:t>
      </w:r>
    </w:p>
    <w:p w:rsidR="002F2A46" w:rsidRPr="00CD03D8" w:rsidRDefault="002F2A46" w:rsidP="002F2A46">
      <w:pPr>
        <w:pStyle w:val="AMNumberTabs"/>
        <w:keepNext/>
        <w:rPr>
          <w:noProof/>
          <w:lang w:val="de-DE"/>
        </w:rPr>
      </w:pPr>
      <w:r w:rsidRPr="00CD03D8">
        <w:rPr>
          <w:rStyle w:val="HideTWBExt"/>
          <w:b w:val="0"/>
          <w:lang w:val="de-DE"/>
        </w:rPr>
        <w:t>&lt;Amend&gt;</w:t>
      </w:r>
      <w:r w:rsidRPr="00CD03D8">
        <w:rPr>
          <w:lang w:val="de-DE"/>
        </w:rPr>
        <w:t>Amendement</w:t>
      </w:r>
      <w:r w:rsidRPr="00CD03D8">
        <w:rPr>
          <w:lang w:val="de-DE"/>
        </w:rPr>
        <w:tab/>
      </w:r>
      <w:r w:rsidRPr="00CD03D8">
        <w:rPr>
          <w:lang w:val="de-DE"/>
        </w:rPr>
        <w:tab/>
      </w:r>
      <w:r w:rsidRPr="00CD03D8">
        <w:rPr>
          <w:rStyle w:val="HideTWBExt"/>
          <w:b w:val="0"/>
          <w:lang w:val="de-DE"/>
        </w:rPr>
        <w:t>&lt;NumAm&gt;</w:t>
      </w:r>
      <w:r w:rsidRPr="00CD03D8">
        <w:rPr>
          <w:lang w:val="de-DE"/>
        </w:rPr>
        <w:t>130</w:t>
      </w:r>
      <w:r w:rsidRPr="00CD03D8">
        <w:rPr>
          <w:rStyle w:val="HideTWBExt"/>
          <w:b w:val="0"/>
          <w:lang w:val="de-DE"/>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Norbert Erdős, Michel Dantin</w:t>
      </w:r>
      <w:r w:rsidRPr="00CD03D8">
        <w:rPr>
          <w:rStyle w:val="HideTWBExt"/>
          <w:b w:val="0"/>
          <w:lang w:val="en-GB"/>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(9)</w:t>
            </w:r>
            <w:r w:rsidRPr="00421CE3">
              <w:rPr>
                <w:b/>
                <w:i/>
              </w:rPr>
              <w:tab/>
              <w:t>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peux apporter mon soutien au renforcement de la protection de cultivars tels qu’Othello, Isabelle ou Clinton en raison de l’absence d’évaluation économique ex ante de ses possibles répercussions sur le marché des vins de qualité protégés. Il nous incombe de garantir le bon fonctionnement du marché de l’Union des vins protégés juridiquement.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131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(9)</w:t>
            </w:r>
            <w:r w:rsidRPr="00DE5BAE">
              <w:tab/>
              <w:t xml:space="preserve">Les règles pour le classement des variétés à raisins de cuve par les États membres devraient être modifiées de façon à inclure les variétés à raisins de cuve Noah, Othello, Isabelle, Jacquez, Clinton et Herbemont, précédemment exclues. </w:t>
            </w:r>
            <w:r w:rsidRPr="00DE5BAE">
              <w:rPr>
                <w:b/>
                <w:i/>
              </w:rPr>
              <w:t>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DE5BAE" w:rsidRDefault="002F2A46" w:rsidP="003A3553">
            <w:pPr>
              <w:pStyle w:val="Normal6"/>
              <w:rPr>
                <w:noProof/>
                <w:szCs w:val="24"/>
              </w:rPr>
            </w:pPr>
            <w:r w:rsidRPr="00DE5BAE">
              <w:t>(9)</w:t>
            </w:r>
            <w:r w:rsidRPr="00DE5BAE">
              <w:tab/>
              <w:t>Les règles pour le classement des variétés à raisins de cuve par les États membres devraient être modifiées de façon à inclure les variétés à raisins de cuve Noah, Othello, Isabelle, Jacquez, Clinton et Herbemont, précédemment exclues.</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132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Tomáš Zdechovský</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{CONT}</w:t>
      </w:r>
      <w:r w:rsidRPr="00421CE3">
        <w:t>au nom de la commission du contrôle budgétaire</w:t>
      </w:r>
      <w:r>
        <w:rPr>
          <w:rStyle w:val="HideTWBExt"/>
        </w:rPr>
        <w:t>&lt;/AuNomDe&gt;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(9)</w:t>
            </w:r>
            <w:r w:rsidRPr="00421CE3">
              <w:tab/>
              <w:t>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421CE3" w:rsidRDefault="002F2A46" w:rsidP="003A3553">
            <w:pPr>
              <w:pStyle w:val="Normal6"/>
              <w:rPr>
                <w:noProof/>
                <w:szCs w:val="24"/>
              </w:rPr>
            </w:pPr>
            <w:r w:rsidRPr="00421CE3">
              <w:t>(9)</w:t>
            </w:r>
            <w:r w:rsidRPr="00421CE3">
              <w:tab/>
              <w:t xml:space="preserve">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 </w:t>
            </w:r>
            <w:r w:rsidRPr="00421CE3">
              <w:rPr>
                <w:b/>
                <w:i/>
              </w:rPr>
              <w:t>Toutefois, aucune disposition ne devrait être prévue pour les variétés génétiquement modifiées.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133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Miguel Viegas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(9)</w:t>
            </w:r>
            <w:r w:rsidRPr="005828C1">
              <w:tab/>
              <w:t xml:space="preserve">Les règles pour le classement des variétés à raisins de cuve par les États membres devraient être modifiées de façon à inclure les variétés à raisins de cuve Noah, Othello, Isabelle, Jacquez, Clinton et </w:t>
            </w:r>
            <w:r w:rsidRPr="005828C1">
              <w:rPr>
                <w:b/>
                <w:i/>
              </w:rPr>
              <w:t>Herbemont</w:t>
            </w:r>
            <w:r w:rsidRPr="005828C1">
              <w: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c>
          <w:tcPr>
            <w:tcW w:w="4876" w:type="dxa"/>
            <w:hideMark/>
          </w:tcPr>
          <w:p w:rsidR="002F2A46" w:rsidRPr="005828C1" w:rsidRDefault="002F2A46" w:rsidP="003A3553">
            <w:pPr>
              <w:pStyle w:val="Normal6"/>
              <w:rPr>
                <w:noProof/>
                <w:szCs w:val="24"/>
              </w:rPr>
            </w:pPr>
            <w:r w:rsidRPr="005828C1">
              <w:t>(9)</w:t>
            </w:r>
            <w:r w:rsidRPr="005828C1">
              <w:tab/>
              <w:t>Les règles pour le classement des variétés à raisins de cuve par les États membres devraient être modifiées de façon à inclure les variétés à raisins de cuve Noah, Othello, Isabelle, Jacquez, Clinton</w:t>
            </w:r>
            <w:r w:rsidRPr="005828C1">
              <w:rPr>
                <w:b/>
                <w:i/>
              </w:rPr>
              <w:t>,</w:t>
            </w:r>
            <w:r w:rsidRPr="005828C1">
              <w:t xml:space="preserve"> Herbemont </w:t>
            </w:r>
            <w:r w:rsidRPr="005828C1">
              <w:rPr>
                <w:b/>
                <w:i/>
              </w:rPr>
              <w:t>et Saibel</w:t>
            </w:r>
            <w:r w:rsidRPr="005828C1">
              <w:t>, précédemment exclues. Pour s’assurer que la production de vin dans l’Union développe une résistance accrue aux maladies et qu’elle utilise des cépages mieux adaptés à l’évolution des conditions climatiques, il convient de prévoir des dispositions permettant aux variétés Vitis Labrusca et aux variétés provenant de croisements entre Vitis vinifera, Vitis Labrusca et d’autres espèces du genre Vitis d’être plantées en vue de la production de vin dans l’Union.</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{PT}</w:t>
      </w:r>
      <w:r w:rsidRPr="00CD03D8">
        <w:rPr>
          <w:lang w:val="en-GB"/>
        </w:rPr>
        <w:t>pt</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noProof/>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134</w:t>
      </w:r>
      <w:r w:rsidRPr="00CD03D8">
        <w:rPr>
          <w:rStyle w:val="HideTWBExt"/>
          <w:b w:val="0"/>
          <w:lang w:val="en-GB"/>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Thomas Waitz</w:t>
      </w:r>
      <w:r w:rsidRPr="00CD03D8">
        <w:rPr>
          <w:rStyle w:val="HideTWBExt"/>
          <w:b w:val="0"/>
          <w:lang w:val="en-GB"/>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(9)</w:t>
            </w:r>
            <w:r w:rsidRPr="00421CE3">
              <w:tab/>
              <w:t xml:space="preserve">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w:t>
            </w:r>
            <w:r w:rsidRPr="00421CE3">
              <w:rPr>
                <w:b/>
                <w:i/>
              </w:rPr>
              <w:t>aux variétés</w:t>
            </w:r>
            <w:r w:rsidRPr="00421CE3">
              <w:t xml:space="preserve"> Vitis </w:t>
            </w:r>
            <w:r w:rsidRPr="00421CE3">
              <w:rPr>
                <w:b/>
                <w:i/>
              </w:rPr>
              <w:t>Labrusca et aux</w:t>
            </w:r>
            <w:r w:rsidRPr="00421CE3">
              <w:t xml:space="preserve"> variétés provenant de croisements entre </w:t>
            </w:r>
            <w:r w:rsidRPr="00421CE3">
              <w:rPr>
                <w:b/>
                <w:i/>
              </w:rPr>
              <w:t>Vitis vinifera, Vitis Labrusca et d’autres</w:t>
            </w:r>
            <w:r w:rsidRPr="00421CE3">
              <w:t xml:space="preserve"> espèces du genre Vitis d’être plantées en vue de la production de vin dans l’Union.</w:t>
            </w:r>
          </w:p>
        </w:tc>
        <w:tc>
          <w:tcPr>
            <w:tcW w:w="4876" w:type="dxa"/>
            <w:hideMark/>
          </w:tcPr>
          <w:p w:rsidR="002F2A46" w:rsidRPr="00421CE3" w:rsidRDefault="002F2A46" w:rsidP="003A3553">
            <w:pPr>
              <w:pStyle w:val="Normal6"/>
              <w:rPr>
                <w:noProof/>
                <w:szCs w:val="24"/>
              </w:rPr>
            </w:pPr>
            <w:r w:rsidRPr="00421CE3">
              <w:t>(9)</w:t>
            </w:r>
            <w:r w:rsidRPr="00421CE3">
              <w:tab/>
              <w:t xml:space="preserve">Les règles pour le classement des variétés à raisins de cuve par les États membres devraient être modifiées de façon à inclure les variétés à raisins de cuve Noah, Othello, Isabelle, Jacquez, Clinton et Herbemont, précédemment exclues. Pour s’assurer que la production de vin dans l’Union développe une résistance accrue aux maladies et qu’elle utilise des cépages mieux adaptés à l’évolution des conditions climatiques, il convient de prévoir des dispositions permettant </w:t>
            </w:r>
            <w:r w:rsidRPr="00421CE3">
              <w:rPr>
                <w:b/>
                <w:i/>
              </w:rPr>
              <w:t>à toutes les espèces du genre</w:t>
            </w:r>
            <w:r w:rsidRPr="00421CE3">
              <w:t xml:space="preserve"> Vitis </w:t>
            </w:r>
            <w:r w:rsidRPr="00421CE3">
              <w:rPr>
                <w:b/>
                <w:i/>
              </w:rPr>
              <w:t>et à toutes les</w:t>
            </w:r>
            <w:r w:rsidRPr="00421CE3">
              <w:t xml:space="preserve"> variétés provenant de croisements entre </w:t>
            </w:r>
            <w:r w:rsidRPr="00421CE3">
              <w:rPr>
                <w:b/>
                <w:i/>
              </w:rPr>
              <w:t>différentes</w:t>
            </w:r>
            <w:r w:rsidRPr="00421CE3">
              <w:t xml:space="preserve"> espèces du genre Vitis d’être plantées en vue de la production de vin dans l’Union.</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Rien ne justifie d’interdire que les variétés n’appartenant pas à l’espèce Vitis vinifera ne bénéficient d’appellations d’origine. Uhudler ou fragolino, par exemple, sont des variétés renommées, cultivées traditionnellement dans des régions d’Europe précises, où elles sont enracinées dans la culture locale et ont un poids socio-économique non négligeable. Ces variétés devraient être protégées contre toute forme de détournement aux moyen de cahiers des charges précis en matière de production, ce qui présenterait l’avantage supplémentaire de garantir des normes de qualité élevées.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135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(10)</w:t>
            </w:r>
            <w:r w:rsidRPr="00421CE3">
              <w:tab/>
              <w:t xml:space="preserve">Afin de permettre aux producteurs d’utiliser des variétés de vigne qui sont mieux adaptées à l’évolution des conditions climatiques et plus résistantes aux maladies, il convient de prévoir des dispositions permettant des produits utilisant des appellations d’origine issues non seulement de variétés de vigne de l’espèce Vitis vinifera, mais aussi </w:t>
            </w:r>
            <w:r w:rsidRPr="00421CE3">
              <w:rPr>
                <w:b/>
                <w:i/>
              </w:rPr>
              <w:t>de variétés de vigne provenant d’un croisement entre ladite espèce et</w:t>
            </w:r>
            <w:r w:rsidRPr="00421CE3">
              <w:t xml:space="preserve"> d’autres espèces du genre Vitis.</w:t>
            </w:r>
          </w:p>
        </w:tc>
        <w:tc>
          <w:tcPr>
            <w:tcW w:w="4876" w:type="dxa"/>
            <w:hideMark/>
          </w:tcPr>
          <w:p w:rsidR="002F2A46" w:rsidRPr="00421CE3" w:rsidRDefault="002F2A46" w:rsidP="003A3553">
            <w:pPr>
              <w:pStyle w:val="Normal6"/>
              <w:rPr>
                <w:noProof/>
                <w:szCs w:val="24"/>
              </w:rPr>
            </w:pPr>
            <w:r w:rsidRPr="00421CE3">
              <w:t>(10)</w:t>
            </w:r>
            <w:r w:rsidRPr="00421CE3">
              <w:tab/>
              <w:t>Afin de permettre aux producteurs d’utiliser des variétés de vigne qui sont mieux adaptées à l’évolution des conditions climatiques et plus résistantes aux maladies, il convient de prévoir des dispositions permettant des produits utilisant des appellations d’origine issues non seulement de variétés de vigne de l’espèce Vitis vinifera, mais aussi d’autres espèces du genre Vitis</w:t>
            </w:r>
            <w:r w:rsidRPr="00421CE3">
              <w:rPr>
                <w:b/>
                <w:i/>
              </w:rPr>
              <w:t>, ainsi que de variétés provenant de croisements entre différentes espèces du genre Vitis</w:t>
            </w:r>
            <w:r w:rsidRPr="00421CE3">
              <w:t>.</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Rien ne justifie d’interdire que les variétés n’appartenant pas à l’espèce Vitis vinifera ne bénéficient d’appellations d’origine. Uhudler ou fragolino, par exemple, sont des variétés renommées, cultivées traditionnellement dans des régions d’Europe précises, où elles sont enracinées dans la culture locale et ont un poids socio-économique non négligeable. Ces variétés devraient être protégées contre toute forme de détournement aux moyen de cahiers des charges précis en matière de production, ce qui présenterait l’avantage supplémentaire de garantir des normes de qualité élevées.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136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11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(11)</w:t>
            </w:r>
            <w:r w:rsidRPr="00DE5BAE">
              <w:tab/>
              <w:t>Il y a lieu d’appliquer les dispositions relatives aux certificats de conformité et aux bulletins d’analyse prévus à l’importation des vins, à la lumière des accords internationaux conclus en conformité avec le traité sur le fonctionnement de l'Union européenne (ci-après dénommé le «TFUE»).</w:t>
            </w:r>
          </w:p>
        </w:tc>
        <w:tc>
          <w:tcPr>
            <w:tcW w:w="4876" w:type="dxa"/>
            <w:hideMark/>
          </w:tcPr>
          <w:p w:rsidR="002F2A46" w:rsidRPr="00DE5BAE" w:rsidRDefault="002F2A46" w:rsidP="003A3553">
            <w:pPr>
              <w:pStyle w:val="Normal6"/>
              <w:rPr>
                <w:noProof/>
                <w:szCs w:val="24"/>
              </w:rPr>
            </w:pPr>
            <w:r w:rsidRPr="00DE5BAE">
              <w:t>(11)</w:t>
            </w:r>
            <w:r w:rsidRPr="00DE5BAE">
              <w:tab/>
              <w:t>Il y a lieu d’appliquer les dispositions relatives aux certificats de conformité et aux bulletins d’analyse prévus à l’importation des vins, à la lumière des accords internationaux conclus en conformité avec le traité sur le fonctionnement de l'Union européenne (ci-après dénommé le «TFUE»)</w:t>
            </w:r>
            <w:r w:rsidRPr="00DE5BAE">
              <w:rPr>
                <w:b/>
                <w:i/>
              </w:rPr>
              <w:t>, en s’assurant que les normes de traçabilité et de qualité correspondent à celles en vigueur à l’échelle européenne</w:t>
            </w:r>
            <w:r w:rsidRPr="00DE5BAE">
              <w:t>.</w:t>
            </w:r>
          </w:p>
        </w:tc>
      </w:tr>
    </w:tbl>
    <w:p w:rsidR="002F2A46" w:rsidRPr="00CD03D8" w:rsidRDefault="002F2A46" w:rsidP="002F2A46">
      <w:pPr>
        <w:pStyle w:val="Olang"/>
        <w:rPr>
          <w:szCs w:val="24"/>
          <w:lang w:val="pt-PT"/>
        </w:rPr>
      </w:pPr>
      <w:r w:rsidRPr="00CD03D8">
        <w:rPr>
          <w:lang w:val="pt-PT"/>
        </w:rPr>
        <w:t xml:space="preserve">Or. </w:t>
      </w:r>
      <w:r w:rsidRPr="00CD03D8">
        <w:rPr>
          <w:rStyle w:val="HideTWBExt"/>
          <w:lang w:val="pt-PT"/>
        </w:rPr>
        <w:t>&lt;Original&gt;</w:t>
      </w:r>
      <w:r w:rsidRPr="00CD03D8">
        <w:rPr>
          <w:rStyle w:val="HideTWBInt"/>
          <w:lang w:val="pt-PT"/>
        </w:rPr>
        <w:t>{RO}</w:t>
      </w:r>
      <w:r w:rsidRPr="00CD03D8">
        <w:rPr>
          <w:lang w:val="pt-PT"/>
        </w:rPr>
        <w:t>ro</w:t>
      </w:r>
      <w:r w:rsidRPr="00CD03D8">
        <w:rPr>
          <w:rStyle w:val="HideTWBExt"/>
          <w:lang w:val="pt-PT"/>
        </w:rPr>
        <w:t>&lt;/Original&gt;</w:t>
      </w:r>
    </w:p>
    <w:p w:rsidR="002F2A46" w:rsidRPr="00CD03D8" w:rsidRDefault="002F2A46" w:rsidP="002F2A46">
      <w:pPr>
        <w:rPr>
          <w:noProof/>
          <w:lang w:val="pt-PT"/>
        </w:rPr>
      </w:pPr>
      <w:r w:rsidRPr="00CD03D8">
        <w:rPr>
          <w:rStyle w:val="HideTWBExt"/>
          <w:lang w:val="pt-PT"/>
        </w:rPr>
        <w:t>&lt;/Amend&gt;</w:t>
      </w:r>
    </w:p>
    <w:p w:rsidR="002F2A46" w:rsidRPr="00CD03D8" w:rsidRDefault="002F2A46" w:rsidP="002F2A46">
      <w:pPr>
        <w:pStyle w:val="AMNumberTabs"/>
        <w:keepNext/>
        <w:rPr>
          <w:noProof/>
          <w:lang w:val="pt-PT"/>
        </w:rPr>
      </w:pPr>
      <w:r w:rsidRPr="00CD03D8">
        <w:rPr>
          <w:rStyle w:val="HideTWBExt"/>
          <w:b w:val="0"/>
          <w:lang w:val="pt-PT"/>
        </w:rPr>
        <w:t>&lt;Amend&gt;</w:t>
      </w:r>
      <w:r w:rsidRPr="00CD03D8">
        <w:rPr>
          <w:lang w:val="pt-PT"/>
        </w:rPr>
        <w:t>Amendement</w:t>
      </w:r>
      <w:r w:rsidRPr="00CD03D8">
        <w:rPr>
          <w:lang w:val="pt-PT"/>
        </w:rPr>
        <w:tab/>
      </w:r>
      <w:r w:rsidRPr="00CD03D8">
        <w:rPr>
          <w:lang w:val="pt-PT"/>
        </w:rPr>
        <w:tab/>
      </w:r>
      <w:r w:rsidRPr="00CD03D8">
        <w:rPr>
          <w:rStyle w:val="HideTWBExt"/>
          <w:b w:val="0"/>
          <w:lang w:val="pt-PT"/>
        </w:rPr>
        <w:t>&lt;NumAm&gt;</w:t>
      </w:r>
      <w:r w:rsidRPr="00CD03D8">
        <w:rPr>
          <w:lang w:val="pt-PT"/>
        </w:rPr>
        <w:t>137</w:t>
      </w:r>
      <w:r w:rsidRPr="00CD03D8">
        <w:rPr>
          <w:rStyle w:val="HideTWBExt"/>
          <w:b w:val="0"/>
          <w:lang w:val="pt-PT"/>
        </w:rPr>
        <w:t>&lt;/NumAm&gt;</w:t>
      </w:r>
    </w:p>
    <w:p w:rsidR="002F2A46" w:rsidRPr="00CD03D8" w:rsidRDefault="002F2A46" w:rsidP="002F2A46">
      <w:pPr>
        <w:pStyle w:val="NormalBold"/>
        <w:rPr>
          <w:noProof/>
          <w:lang w:val="pt-PT"/>
        </w:rPr>
      </w:pPr>
      <w:r w:rsidRPr="00CD03D8">
        <w:rPr>
          <w:rStyle w:val="HideTWBExt"/>
          <w:b w:val="0"/>
          <w:lang w:val="pt-PT"/>
        </w:rPr>
        <w:t>&lt;RepeatBlock-By&gt;&lt;Members&gt;</w:t>
      </w:r>
      <w:r w:rsidRPr="00CD03D8">
        <w:rPr>
          <w:lang w:val="pt-PT"/>
        </w:rPr>
        <w:t>Maria Lidia Senra Rodríguez</w:t>
      </w:r>
      <w:r w:rsidRPr="00CD03D8">
        <w:rPr>
          <w:rStyle w:val="HideTWBExt"/>
          <w:b w:val="0"/>
          <w:lang w:val="pt-PT"/>
        </w:rPr>
        <w:t>&lt;/Members&gt;</w:t>
      </w:r>
    </w:p>
    <w:p w:rsidR="002F2A46" w:rsidRPr="00CD03D8" w:rsidRDefault="002F2A46" w:rsidP="002F2A46">
      <w:pPr>
        <w:rPr>
          <w:noProof/>
          <w:lang w:val="pt-PT"/>
        </w:rPr>
      </w:pPr>
      <w:r w:rsidRPr="00CD03D8">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Considérant 12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(12)</w:t>
            </w:r>
            <w:r w:rsidRPr="00094D6B">
              <w:rPr>
                <w:b/>
                <w:i/>
              </w:rPr>
              <w:tab/>
            </w:r>
            <w:r w:rsidRPr="00094D6B">
              <w:t>Il est nécessaire d’aligner la définition d’une appellation d’origine sur la définition figurant dans l’accord sur les aspects des droits de propriété intellectuelle qui touchent au commerce (ci-après dénommé l'«accord ADPIC»)</w:t>
            </w:r>
            <w:r w:rsidRPr="00094D6B">
              <w:rPr>
                <w:vertAlign w:val="superscript"/>
              </w:rPr>
              <w:t>12</w:t>
            </w:r>
            <w:r w:rsidRPr="00094D6B">
              <w:t>, approuvé par la décision n° 94/800/CE du Conseil</w:t>
            </w:r>
            <w:r w:rsidRPr="00094D6B">
              <w:rPr>
                <w:vertAlign w:val="superscript"/>
              </w:rPr>
              <w:t>13</w:t>
            </w:r>
            <w:r w:rsidRPr="00094D6B">
              <w:t>, et notamment sur son article 22, paragraphe 1, en ce sens que la dénomination doit identifier le produit comme originaire d’une région spécifique ou d’un lieu spécifique.</w:t>
            </w:r>
          </w:p>
        </w:tc>
        <w:tc>
          <w:tcPr>
            <w:tcW w:w="4876" w:type="dxa"/>
            <w:hideMark/>
          </w:tcPr>
          <w:p w:rsidR="002F2A46" w:rsidRPr="00094D6B" w:rsidRDefault="002F2A46" w:rsidP="003A3553">
            <w:pPr>
              <w:pStyle w:val="Normal6"/>
              <w:rPr>
                <w:noProof/>
                <w:szCs w:val="24"/>
              </w:rPr>
            </w:pPr>
            <w:r w:rsidRPr="00094D6B">
              <w:rPr>
                <w:b/>
                <w:i/>
              </w:rPr>
              <w:t>supprimé</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__________________</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vertAlign w:val="superscript"/>
              </w:rPr>
              <w:t>12</w:t>
            </w:r>
            <w:r w:rsidRPr="00094D6B">
              <w:t xml:space="preserve"> Négociations multilatérales du cycle de l'Uruguay (1986- 1994) - annexe 1 - annexe 1C - accord sur les aspects des droits de propriété intellectuelle qui touchent au commerce (OMC)(JO L 336 du 23.12.1994, p. 214).</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vertAlign w:val="superscript"/>
              </w:rPr>
              <w:t>13</w:t>
            </w:r>
            <w:r w:rsidRPr="00094D6B">
              <w:t xml:space="preserve"> 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tc>
        <w:tc>
          <w:tcPr>
            <w:tcW w:w="4876" w:type="dxa"/>
          </w:tcPr>
          <w:p w:rsidR="002F2A46" w:rsidRPr="00094D6B" w:rsidRDefault="002F2A46" w:rsidP="003A3553">
            <w:pPr>
              <w:pStyle w:val="Normal6"/>
              <w:rPr>
                <w:noProof/>
                <w:szCs w:val="24"/>
              </w:rPr>
            </w:pPr>
          </w:p>
        </w:tc>
      </w:tr>
    </w:tbl>
    <w:p w:rsidR="002F2A46" w:rsidRPr="00CD03D8" w:rsidRDefault="002F2A46" w:rsidP="002F2A46">
      <w:pPr>
        <w:pStyle w:val="Olang"/>
        <w:rPr>
          <w:szCs w:val="24"/>
        </w:rPr>
      </w:pPr>
      <w:r w:rsidRPr="00CD03D8">
        <w:t xml:space="preserve">Or. </w:t>
      </w:r>
      <w:r w:rsidRPr="00CD03D8">
        <w:rPr>
          <w:rStyle w:val="HideTWBExt"/>
        </w:rPr>
        <w:t>&lt;Original&gt;</w:t>
      </w:r>
      <w:r w:rsidRPr="00CD03D8">
        <w:rPr>
          <w:rStyle w:val="HideTWBInt"/>
        </w:rPr>
        <w:t>{ES}</w:t>
      </w:r>
      <w:r w:rsidRPr="00CD03D8">
        <w:t>es</w:t>
      </w:r>
      <w:r w:rsidRPr="00CD03D8">
        <w:rPr>
          <w:rStyle w:val="HideTWBExt"/>
        </w:rPr>
        <w:t>&lt;/Original&gt;</w:t>
      </w:r>
    </w:p>
    <w:p w:rsidR="002F2A46" w:rsidRPr="00CD03D8" w:rsidRDefault="002F2A46" w:rsidP="002F2A46">
      <w:pPr>
        <w:rPr>
          <w:noProof/>
        </w:rPr>
      </w:pPr>
      <w:r w:rsidRPr="00CD03D8">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138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12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rPr>
              <w:t>(12)</w:t>
            </w:r>
            <w:r w:rsidRPr="00DE5BAE">
              <w:rPr>
                <w:b/>
                <w:i/>
              </w:rPr>
              <w:tab/>
            </w:r>
            <w:r w:rsidRPr="00DE5BAE">
              <w:t>Il est nécessaire d’aligner la définition d’une appellation d’origine sur la définition figurant dans l’accord sur les aspects des droits de propriété intellectuelle qui touchent au commerce</w:t>
            </w:r>
            <w:r w:rsidRPr="00DE5BAE">
              <w:rPr>
                <w:vertAlign w:val="superscript"/>
              </w:rPr>
              <w:t>12</w:t>
            </w:r>
            <w:r w:rsidRPr="00DE5BAE">
              <w:t xml:space="preserve"> (ci-après dénommé l'«accord ADPIC»), approuvé par la décision n° 94/800/CE du Conseil</w:t>
            </w:r>
            <w:r w:rsidRPr="00DE5BAE">
              <w:rPr>
                <w:vertAlign w:val="superscript"/>
              </w:rPr>
              <w:t>13</w:t>
            </w:r>
            <w:r w:rsidRPr="00DE5BAE">
              <w:t>, et notamment sur son article 22, paragraphe 1, en ce sens que la dénomination doit identifier le produit comme originaire d’une région spécifique ou d’un lieu spécifique.</w:t>
            </w:r>
          </w:p>
        </w:tc>
        <w:tc>
          <w:tcPr>
            <w:tcW w:w="4876" w:type="dxa"/>
            <w:hideMark/>
          </w:tcPr>
          <w:p w:rsidR="002F2A46" w:rsidRPr="00DE5BAE" w:rsidRDefault="002F2A46" w:rsidP="003A3553">
            <w:pPr>
              <w:pStyle w:val="Normal6"/>
              <w:rPr>
                <w:noProof/>
                <w:szCs w:val="24"/>
              </w:rPr>
            </w:pPr>
            <w:r w:rsidRPr="00DE5BAE">
              <w:rPr>
                <w:b/>
                <w:i/>
              </w:rPr>
              <w:t>supprimé</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rPr>
              <w:t>__________________</w:t>
            </w:r>
          </w:p>
        </w:tc>
        <w:tc>
          <w:tcPr>
            <w:tcW w:w="4876" w:type="dxa"/>
          </w:tcPr>
          <w:p w:rsidR="002F2A46" w:rsidRPr="00DE5BAE" w:rsidRDefault="002F2A46" w:rsidP="003A3553">
            <w:pPr>
              <w:pStyle w:val="Normal6"/>
              <w:rPr>
                <w:noProof/>
                <w:szCs w:val="24"/>
              </w:rPr>
            </w:pP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vertAlign w:val="superscript"/>
              </w:rPr>
              <w:t>12</w:t>
            </w:r>
            <w:r w:rsidRPr="00DE5BAE">
              <w:t xml:space="preserve"> Négociations multilatérales du cycle de l'Uruguay (1986- 1994) - annexe 1 - annexe 1C - accord sur les aspects des droits de propriété intellectuelle qui touchent au commerce (OMC)(JO L 336 du 23.12.1994, p. 214).</w:t>
            </w:r>
          </w:p>
        </w:tc>
        <w:tc>
          <w:tcPr>
            <w:tcW w:w="4876" w:type="dxa"/>
          </w:tcPr>
          <w:p w:rsidR="002F2A46" w:rsidRPr="00DE5BAE" w:rsidRDefault="002F2A46" w:rsidP="003A3553">
            <w:pPr>
              <w:pStyle w:val="Normal6"/>
              <w:rPr>
                <w:noProof/>
                <w:szCs w:val="24"/>
              </w:rPr>
            </w:pP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vertAlign w:val="superscript"/>
              </w:rPr>
              <w:t>13</w:t>
            </w:r>
            <w:r w:rsidRPr="00DE5BAE">
              <w:t xml:space="preserve"> 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tc>
        <w:tc>
          <w:tcPr>
            <w:tcW w:w="4876" w:type="dxa"/>
          </w:tcPr>
          <w:p w:rsidR="002F2A46" w:rsidRPr="00DE5BAE" w:rsidRDefault="002F2A46" w:rsidP="003A3553">
            <w:pPr>
              <w:pStyle w:val="Normal6"/>
              <w:rPr>
                <w:noProof/>
                <w:szCs w:val="24"/>
              </w:rPr>
            </w:pPr>
          </w:p>
        </w:tc>
      </w:tr>
    </w:tbl>
    <w:p w:rsidR="002F2A46" w:rsidRPr="00CD03D8" w:rsidRDefault="002F2A46" w:rsidP="002F2A46">
      <w:pPr>
        <w:pStyle w:val="Olang"/>
        <w:rPr>
          <w:szCs w:val="24"/>
          <w:lang w:val="pt-PT"/>
        </w:rPr>
      </w:pPr>
      <w:r w:rsidRPr="00CD03D8">
        <w:rPr>
          <w:lang w:val="pt-PT"/>
        </w:rPr>
        <w:t xml:space="preserve">Or. </w:t>
      </w:r>
      <w:r w:rsidRPr="00CD03D8">
        <w:rPr>
          <w:rStyle w:val="HideTWBExt"/>
          <w:lang w:val="pt-PT"/>
        </w:rPr>
        <w:t>&lt;Original&gt;</w:t>
      </w:r>
      <w:r w:rsidRPr="00CD03D8">
        <w:rPr>
          <w:rStyle w:val="HideTWBInt"/>
          <w:lang w:val="pt-PT"/>
        </w:rPr>
        <w:t>{RO}</w:t>
      </w:r>
      <w:r w:rsidRPr="00CD03D8">
        <w:rPr>
          <w:lang w:val="pt-PT"/>
        </w:rPr>
        <w:t>ro</w:t>
      </w:r>
      <w:r w:rsidRPr="00CD03D8">
        <w:rPr>
          <w:rStyle w:val="HideTWBExt"/>
          <w:lang w:val="pt-PT"/>
        </w:rPr>
        <w:t>&lt;/Original&gt;</w:t>
      </w:r>
    </w:p>
    <w:p w:rsidR="002F2A46" w:rsidRPr="00CD03D8" w:rsidRDefault="002F2A46" w:rsidP="002F2A46">
      <w:pPr>
        <w:rPr>
          <w:noProof/>
          <w:lang w:val="pt-PT"/>
        </w:rPr>
      </w:pPr>
      <w:r w:rsidRPr="00CD03D8">
        <w:rPr>
          <w:rStyle w:val="HideTWBExt"/>
          <w:lang w:val="pt-PT"/>
        </w:rPr>
        <w:t>&lt;/Amend&gt;</w:t>
      </w:r>
    </w:p>
    <w:p w:rsidR="002F2A46" w:rsidRPr="00CD03D8" w:rsidRDefault="002F2A46" w:rsidP="002F2A46">
      <w:pPr>
        <w:pStyle w:val="AMNumberTabs"/>
        <w:keepNext/>
        <w:rPr>
          <w:noProof/>
          <w:lang w:val="pt-PT"/>
        </w:rPr>
      </w:pPr>
      <w:r w:rsidRPr="00CD03D8">
        <w:rPr>
          <w:rStyle w:val="HideTWBExt"/>
          <w:b w:val="0"/>
          <w:lang w:val="pt-PT"/>
        </w:rPr>
        <w:t>&lt;Amend&gt;</w:t>
      </w:r>
      <w:r w:rsidRPr="00CD03D8">
        <w:rPr>
          <w:lang w:val="pt-PT"/>
        </w:rPr>
        <w:t>Amendement</w:t>
      </w:r>
      <w:r w:rsidRPr="00CD03D8">
        <w:rPr>
          <w:lang w:val="pt-PT"/>
        </w:rPr>
        <w:tab/>
      </w:r>
      <w:r w:rsidRPr="00CD03D8">
        <w:rPr>
          <w:lang w:val="pt-PT"/>
        </w:rPr>
        <w:tab/>
      </w:r>
      <w:r w:rsidRPr="00CD03D8">
        <w:rPr>
          <w:rStyle w:val="HideTWBExt"/>
          <w:b w:val="0"/>
          <w:lang w:val="pt-PT"/>
        </w:rPr>
        <w:t>&lt;NumAm&gt;</w:t>
      </w:r>
      <w:r w:rsidRPr="00CD03D8">
        <w:rPr>
          <w:lang w:val="pt-PT"/>
        </w:rPr>
        <w:t>139</w:t>
      </w:r>
      <w:r w:rsidRPr="00CD03D8">
        <w:rPr>
          <w:rStyle w:val="HideTWBExt"/>
          <w:b w:val="0"/>
          <w:lang w:val="pt-PT"/>
        </w:rPr>
        <w:t>&lt;/NumAm&gt;</w:t>
      </w:r>
    </w:p>
    <w:p w:rsidR="002F2A46" w:rsidRPr="00CD03D8" w:rsidRDefault="002F2A46" w:rsidP="002F2A46">
      <w:pPr>
        <w:pStyle w:val="NormalBold"/>
        <w:rPr>
          <w:noProof/>
          <w:lang w:val="pt-PT"/>
        </w:rPr>
      </w:pPr>
      <w:r w:rsidRPr="00CD03D8">
        <w:rPr>
          <w:rStyle w:val="HideTWBExt"/>
          <w:b w:val="0"/>
          <w:lang w:val="pt-PT"/>
        </w:rPr>
        <w:t>&lt;RepeatBlock-By&gt;&lt;Members&gt;</w:t>
      </w:r>
      <w:r w:rsidRPr="00CD03D8">
        <w:rPr>
          <w:lang w:val="pt-PT"/>
        </w:rPr>
        <w:t>Nicola Caputo</w:t>
      </w:r>
      <w:r w:rsidRPr="00CD03D8">
        <w:rPr>
          <w:rStyle w:val="HideTWBExt"/>
          <w:b w:val="0"/>
          <w:lang w:val="pt-PT"/>
        </w:rPr>
        <w:t>&lt;/Members&gt;</w:t>
      </w:r>
    </w:p>
    <w:p w:rsidR="002F2A46" w:rsidRPr="00CD03D8" w:rsidRDefault="002F2A46" w:rsidP="002F2A46">
      <w:pPr>
        <w:rPr>
          <w:noProof/>
          <w:lang w:val="pt-PT"/>
        </w:rPr>
      </w:pPr>
      <w:r w:rsidRPr="00CD03D8">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(12)</w:t>
            </w:r>
            <w:r w:rsidRPr="00421CE3">
              <w:rPr>
                <w:b/>
                <w:i/>
              </w:rPr>
              <w:tab/>
              <w:t>Il est nécessaire d’aligner la définition d’une appellation d’origine sur la définition figurant dans l’accord sur les aspects des droits de propriété intellectuelle qui touchent au commerce</w:t>
            </w:r>
            <w:r w:rsidRPr="00421CE3">
              <w:rPr>
                <w:b/>
                <w:i/>
                <w:vertAlign w:val="superscript"/>
              </w:rPr>
              <w:t>12</w:t>
            </w:r>
            <w:r w:rsidRPr="00421CE3">
              <w:rPr>
                <w:b/>
                <w:i/>
              </w:rPr>
              <w:t xml:space="preserve"> (ci-après dénommé l'«accord ADPIC»), approuvé par la décision n° 94/800/CE du Conseil</w:t>
            </w:r>
            <w:r w:rsidRPr="00421CE3">
              <w:rPr>
                <w:b/>
                <w:i/>
                <w:vertAlign w:val="superscript"/>
              </w:rPr>
              <w:t>13</w:t>
            </w:r>
            <w:r w:rsidRPr="00421CE3">
              <w:rPr>
                <w:b/>
                <w:i/>
              </w:rPr>
              <w:t>, et notamment sur son article 22, paragraphe 1, en ce sens que la dénomination doit identifier le produit comme originaire d’une région spécifique ou d’un lieu spécifique.</w:t>
            </w:r>
          </w:p>
        </w:tc>
        <w:tc>
          <w:tcPr>
            <w:tcW w:w="4876" w:type="dxa"/>
            <w:hideMark/>
          </w:tcPr>
          <w:p w:rsidR="002F2A46" w:rsidRPr="00421CE3" w:rsidRDefault="002F2A46" w:rsidP="003A3553">
            <w:pPr>
              <w:pStyle w:val="Normal6"/>
              <w:rPr>
                <w:noProof/>
                <w:szCs w:val="24"/>
              </w:rPr>
            </w:pPr>
            <w:r w:rsidRPr="00421CE3">
              <w:rPr>
                <w:b/>
                <w:i/>
              </w:rPr>
              <w:t>supprimé</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__________________</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12 Négociations multilatérales du cycle de l'Uruguay (1986- 1994) - annexe 1 - annexe 1C - accord sur les aspects des droits de propriété intellectuelle qui touchent au commerce (OMC)(JO L 336 du 23.12.1994, p. 214).</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13 Décision 94/800/CE du Conseil du 22 décembre 1994 relative à la conclusion au nom de la Communauté européenne, pour ce qui concerne les matières relevant de ses compétences, des accords des négociations multilatérales du cycle de l'Uruguay (1986-1994) (JO L 336 du 23.12.1994, p. 1).</w:t>
            </w:r>
          </w:p>
        </w:tc>
        <w:tc>
          <w:tcPr>
            <w:tcW w:w="4876" w:type="dxa"/>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Puisque nous avons retenu la définition de l’appellation d’origine prévue dans l’Arrangement international de Lisbonne, ce considérant devient inapproprié car il fait référence à une autre définition de l’appellation d’origine, figurant dans l’accord sur les aspects des droits de propriété intellectuelle qui touchent au commerce (ADPIC).</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140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12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(12 bis)</w:t>
            </w:r>
            <w:r w:rsidRPr="00421CE3">
              <w:rPr>
                <w:b/>
                <w:i/>
              </w:rPr>
              <w:tab/>
              <w:t>Afin d’améliorer le fonctionnement de l’intervention publique dans le secteur laitier, il est utile de réaliser une analyse d’impact scientifique pour évaluer l’efficacité et la faisabilité de plusieurs options:</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 potentielle augmentation du prix d’intervention;</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 couplage du prix d’intervention avec le volume;</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 corrélation du prix d’intervention avec le prix de la matière première.</w:t>
            </w:r>
          </w:p>
        </w:tc>
      </w:tr>
    </w:tbl>
    <w:p w:rsidR="002F2A46" w:rsidRPr="00CD03D8" w:rsidRDefault="002F2A46" w:rsidP="002F2A46">
      <w:pPr>
        <w:pStyle w:val="Olang"/>
        <w:rPr>
          <w:szCs w:val="24"/>
        </w:rPr>
      </w:pPr>
      <w:r w:rsidRPr="00CD03D8">
        <w:t xml:space="preserve">Or. </w:t>
      </w:r>
      <w:r w:rsidRPr="00CD03D8">
        <w:rPr>
          <w:rStyle w:val="HideTWBExt"/>
        </w:rPr>
        <w:t>&lt;Original&gt;</w:t>
      </w:r>
      <w:r w:rsidRPr="00CD03D8">
        <w:rPr>
          <w:rStyle w:val="HideTWBInt"/>
        </w:rPr>
        <w:t>{EN}</w:t>
      </w:r>
      <w:r w:rsidRPr="00CD03D8">
        <w:t>en</w:t>
      </w:r>
      <w:r w:rsidRPr="00CD03D8">
        <w:rPr>
          <w:rStyle w:val="HideTWBExt"/>
        </w:rPr>
        <w:t>&lt;/Original&gt;</w:t>
      </w:r>
    </w:p>
    <w:p w:rsidR="002F2A46" w:rsidRPr="00CD03D8" w:rsidRDefault="002F2A46" w:rsidP="002F2A46">
      <w:pPr>
        <w:rPr>
          <w:noProof/>
        </w:rPr>
      </w:pPr>
      <w:r w:rsidRPr="00CD03D8">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141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13</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(13)</w:t>
            </w:r>
            <w:r w:rsidRPr="00A53FF9">
              <w:tab/>
              <w:t xml:space="preserve">Afin d’assurer la cohérence de la prise de décision en ce qui concerne les demandes de protection et d’opposition présentées dans le cadre de la procédure préliminaire au niveau national visée à l’article 96 du règlement (UE) n° 1308/2013, il convient que la Commission soit informée en temps utile et de manière régulière, lorsque des procédures sont engagées devant des juridictions nationales ou autres organes nationaux concernant une demande de protection transmise par l’État membre à la Commission, conformément à l’article 96, paragraphe 5, du règlement (UE) n° 1308/2013. </w:t>
            </w:r>
            <w:r w:rsidRPr="00A53FF9">
              <w:rPr>
                <w:b/>
                <w:i/>
              </w:rPr>
              <w:t>Il est nécessaire de conférer des compétences d’exécution à la Commission afin, dans ces circonstances et s’il y a lieu, de suspendre l’examen de la demande jusqu’à ce que la juridiction nationale ou autre organe national ait statué sur la contestation de l’appréciation par l’État membre de la demande dans le cadre de la procédure préliminaire au niveau national.</w:t>
            </w:r>
          </w:p>
        </w:tc>
        <w:tc>
          <w:tcPr>
            <w:tcW w:w="4876" w:type="dxa"/>
            <w:hideMark/>
          </w:tcPr>
          <w:p w:rsidR="002F2A46" w:rsidRPr="00A53FF9" w:rsidRDefault="002F2A46" w:rsidP="003A3553">
            <w:pPr>
              <w:pStyle w:val="Normal6"/>
              <w:rPr>
                <w:szCs w:val="24"/>
              </w:rPr>
            </w:pPr>
            <w:r w:rsidRPr="00A53FF9">
              <w:t>(13)</w:t>
            </w:r>
            <w:r w:rsidRPr="00A53FF9">
              <w:tab/>
              <w:t>Afin d’assurer la cohérence de la prise de décision en ce qui concerne les demandes de protection et d’opposition présentées dans le cadre de la procédure préliminaire au niveau national visée à l’article 96 du règlement (UE) n° 1308/2013, il convient que la Commission soit informée en temps utile et de manière régulière, lorsque des procédures sont engagées devant des juridictions nationales ou autres organes nationaux concernant une demande de protection transmise par l’État membre à la Commission, conformément à l’article 96, paragraphe 5, du règlement (UE) n° 1308/2013.</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rejeter la proposition de la Commission, qui aura pour effet de judiciariser le système des AOP/IG et pourrait bloquer l'ensemble du système au vu du temps nécessaire au déroulement des procédures judiciaires. En plus de créer une insécurité juridique pour les opérateurs, cela est contraire au principe selon lequel les recours en annulation devant les juridictions nationales ou européennes n'ont pas d'effet suspensif.</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142</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14</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(14)</w:t>
            </w:r>
            <w:r w:rsidRPr="00A53FF9">
              <w:rPr>
                <w:b/>
                <w:i/>
              </w:rPr>
              <w:tab/>
              <w:t>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rejeter la proposition de la Commission, considérant que la politique de qualité de l'UE ne peut être identifié qu'à seulement un simple mécanisme de protection de la propriété intellectuelle des Indications géographiques.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143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14</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(14)</w:t>
            </w:r>
            <w:r w:rsidRPr="00A53FF9">
              <w:rPr>
                <w:b/>
                <w:i/>
              </w:rPr>
              <w:tab/>
              <w:t>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dans un but de simplification l'enregistrement des indications géographiques ne peut se faire en séparant l'évaluation de la conformité aux règles  en matière de propriété intellectuelle de l'évaluation de la conformité du cahier des charges. Lors de l'examen des cahiers des charges la Commission ne peut se focaliser uniquement sur les aspects relatifs aux droits de propriété intellectuelle de l'indication géographique, étant donné que ces cahiers des charges contiennent bien d'autres éléments essentiels comme l'étiquetage, les pratiques œnologiques...</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144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Miguel Viegas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rPr>
                <w:b/>
                <w:i/>
              </w:rPr>
              <w:t>(14)</w:t>
            </w:r>
            <w:r w:rsidRPr="005828C1">
              <w:rPr>
                <w:b/>
                <w:i/>
              </w:rPr>
              <w:tab/>
              <w:t>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w:t>
            </w:r>
          </w:p>
        </w:tc>
        <w:tc>
          <w:tcPr>
            <w:tcW w:w="4876" w:type="dxa"/>
            <w:hideMark/>
          </w:tcPr>
          <w:p w:rsidR="002F2A46" w:rsidRPr="005828C1" w:rsidRDefault="002F2A46" w:rsidP="003A3553">
            <w:pPr>
              <w:pStyle w:val="Normal6"/>
              <w:rPr>
                <w:noProof/>
                <w:szCs w:val="24"/>
              </w:rPr>
            </w:pPr>
            <w:r w:rsidRPr="005828C1">
              <w:rPr>
                <w:b/>
                <w:i/>
              </w:rPr>
              <w:t>supprimé</w:t>
            </w:r>
          </w:p>
        </w:tc>
      </w:tr>
    </w:tbl>
    <w:p w:rsidR="002F2A46" w:rsidRPr="00A53FF9" w:rsidRDefault="002F2A46" w:rsidP="002F2A46">
      <w:pPr>
        <w:pStyle w:val="Olang"/>
        <w:rPr>
          <w:szCs w:val="24"/>
        </w:rPr>
      </w:pPr>
      <w:r w:rsidRPr="005828C1">
        <w:t xml:space="preserve">Or. </w:t>
      </w:r>
      <w:r w:rsidRPr="00B75D78">
        <w:rPr>
          <w:rStyle w:val="HideTWBExt"/>
        </w:rPr>
        <w:t>&lt;Original&gt;</w:t>
      </w:r>
      <w:r w:rsidRPr="00B75D78">
        <w:rPr>
          <w:rStyle w:val="HideTWBInt"/>
        </w:rPr>
        <w:t>{PT}</w:t>
      </w:r>
      <w:r w:rsidRPr="005828C1">
        <w:t>pt</w:t>
      </w:r>
      <w:r w:rsidRPr="00B75D78">
        <w:rPr>
          <w:rStyle w:val="HideTWBExt"/>
        </w:rPr>
        <w:t>&lt;/Original&gt;</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145</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(14)</w:t>
            </w:r>
            <w:r w:rsidRPr="00094D6B">
              <w:rPr>
                <w:b/>
                <w:i/>
              </w:rPr>
              <w:tab/>
              <w:t>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w:t>
            </w:r>
          </w:p>
        </w:tc>
        <w:tc>
          <w:tcPr>
            <w:tcW w:w="4876" w:type="dxa"/>
            <w:hideMark/>
          </w:tcPr>
          <w:p w:rsidR="002F2A46" w:rsidRPr="00094D6B" w:rsidRDefault="002F2A46" w:rsidP="003A3553">
            <w:pPr>
              <w:pStyle w:val="Normal6"/>
              <w:rPr>
                <w:noProof/>
                <w:szCs w:val="24"/>
              </w:rPr>
            </w:pPr>
            <w:r w:rsidRPr="00094D6B">
              <w:rPr>
                <w:b/>
                <w:i/>
              </w:rPr>
              <w:t>supprimé</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pStyle w:val="CrossRef"/>
        <w:rPr>
          <w:noProof/>
        </w:rPr>
      </w:pPr>
      <w:r>
        <w:t>(https://eur-lex.europa.eu/legal-content/FR/TXT/HTML/?uri=CELEX:32013R1308&amp;from=FR)</w:t>
      </w:r>
    </w:p>
    <w:p w:rsidR="002F2A46" w:rsidRPr="00A53FF9" w:rsidRDefault="002F2A46" w:rsidP="002F2A46">
      <w:pPr>
        <w:rPr>
          <w:noProof/>
        </w:rPr>
      </w:pPr>
      <w:r>
        <w:rPr>
          <w:rStyle w:val="HideTWBExt"/>
        </w:rPr>
        <w:t>&lt;/Amend&gt;</w:t>
      </w:r>
    </w:p>
    <w:p w:rsidR="002F2A46" w:rsidRPr="00CD03D8" w:rsidRDefault="002F2A46" w:rsidP="002F2A46">
      <w:pPr>
        <w:pStyle w:val="AMNumberTabs"/>
        <w:keepNext/>
        <w:rPr>
          <w:noProof/>
        </w:rPr>
      </w:pPr>
      <w:r w:rsidRPr="00CD03D8">
        <w:rPr>
          <w:rStyle w:val="HideTWBExt"/>
          <w:b w:val="0"/>
        </w:rPr>
        <w:t>&lt;Amend&gt;</w:t>
      </w:r>
      <w:r w:rsidRPr="00CD03D8">
        <w:t>Amendement</w:t>
      </w:r>
      <w:r w:rsidRPr="00CD03D8">
        <w:tab/>
      </w:r>
      <w:r w:rsidRPr="00CD03D8">
        <w:tab/>
      </w:r>
      <w:r w:rsidRPr="00CD03D8">
        <w:rPr>
          <w:rStyle w:val="HideTWBExt"/>
          <w:b w:val="0"/>
        </w:rPr>
        <w:t>&lt;NumAm&gt;</w:t>
      </w:r>
      <w:r w:rsidRPr="00CD03D8">
        <w:t>146</w:t>
      </w:r>
      <w:r w:rsidRPr="00CD03D8">
        <w:rPr>
          <w:rStyle w:val="HideTWBExt"/>
          <w:b w:val="0"/>
        </w:rPr>
        <w:t>&lt;/NumAm&gt;</w:t>
      </w:r>
    </w:p>
    <w:p w:rsidR="002F2A46" w:rsidRPr="00CD03D8" w:rsidRDefault="002F2A46" w:rsidP="002F2A46">
      <w:pPr>
        <w:pStyle w:val="NormalBold"/>
        <w:rPr>
          <w:noProof/>
        </w:rPr>
      </w:pPr>
      <w:r w:rsidRPr="00CD03D8">
        <w:rPr>
          <w:rStyle w:val="HideTWBExt"/>
          <w:b w:val="0"/>
        </w:rPr>
        <w:t>&lt;RepeatBlock-By&gt;&lt;Members&gt;</w:t>
      </w:r>
      <w:r w:rsidRPr="00CD03D8">
        <w:t>Ivan Jakovčić</w:t>
      </w:r>
      <w:r w:rsidRPr="00CD03D8">
        <w:rPr>
          <w:rStyle w:val="HideTWBExt"/>
          <w:b w:val="0"/>
        </w:rPr>
        <w:t>&lt;/Members&gt;</w:t>
      </w:r>
    </w:p>
    <w:p w:rsidR="002F2A46" w:rsidRPr="00CD03D8" w:rsidRDefault="002F2A46" w:rsidP="002F2A46">
      <w:pPr>
        <w:rPr>
          <w:noProof/>
        </w:rPr>
      </w:pPr>
      <w:r w:rsidRPr="00CD03D8">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14</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(14)</w:t>
            </w:r>
            <w:r w:rsidRPr="00421CE3">
              <w:rPr>
                <w:b/>
                <w:i/>
              </w:rPr>
              <w:tab/>
              <w:t>Il convient de simplifier et d’accélérer l’enregistrement des indications géographiques en séparant l’évaluation de la conformité aux règles en matière de propriété intellectuelle de l’évaluation de la conformité du cahier des charges aux exigences fixées par les normes de commercialisation et par les règles en matière d’étiquetage.</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147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14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(14 bis)</w:t>
            </w:r>
            <w:r w:rsidRPr="00DE5BAE">
              <w:rPr>
                <w:b/>
                <w:i/>
              </w:rPr>
              <w:tab/>
              <w:t>Il convient d’encourager les nouveaux États membres à entamer les procédures d’enregistrement des indications géographiques, et ce grâce aux échanges de bonnes pratiques entre États membres.</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148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bis)</w:t>
            </w:r>
            <w:r w:rsidRPr="00A53FF9">
              <w:rPr>
                <w:b/>
                <w:i/>
              </w:rPr>
              <w:tab/>
              <w:t>L’expérience acquise dans le cadre de la protection aux appellations d’origine ou aux indications géographiques dans le domaine vitivinicole a démontré que les procédures en vigueur pour l’enregistrement, la modification et l’annulation des appellations d’origine et indications géographiques de l’Union ou de pays tiers peuvent être complexes, contraignantes et longues. Le règlement (UE) n° 1308/2013 a créé des vides juridiques, notamment en ce qui concerne la procédure à suivre pour les demandes de modification du cahier des charges. Les règles de procédure concernant les appellations d’origine et indications géographiques dans le secteur vitivinicole ne sont pas conformes aux règles applicables aux systèmes de qualité dans le secteur des produits alimentaires, des boissons spiritueuses et des vins aromatisés relevant du droit de l’Union. Cette situation donne lieu à des incohérences dans la manière dont cette catégorie de droits de propriété intellectuelle est appliquée. Ces divergences devraient être abordées à la lumière du droit à la protection de la propriété intellectuelle établie à l’article 17, paragraphe 2, de la charte des droits fondamentaux de l’Union européenne. Le présent règlement devrait par conséquent simplifier, clarifier, compléter et harmoniser les procédures concernées. Il convient, dans la mesure du possible, d’établir des procédures sur le modèle des procédures efficaces et dûment éprouvées applicables à la protection des droits de propriété intellectuelle en ce qui concerne les produits agricoles et les denrées alimentaires, énoncées dans le règlement (UE) n° 1151/2012 du Parlement européen et du Conseil et ses règlement d’applications, tout en tenant compte des spécificités du secteur vitivinicole.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2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149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ter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ter)</w:t>
            </w:r>
            <w:r w:rsidRPr="00A53FF9">
              <w:rPr>
                <w:b/>
                <w:i/>
              </w:rPr>
              <w:tab/>
              <w:t>Les appellations d’origine et les indications géographiques sont intrinsèquement liées au territoire des États membres. Les autorités nationales et locales ont la meilleure expertise des faits pertinents et les connaissent le mieux. Il y a lieu d’en tenir compte dans les règles procédurales concernées, eu égard au principe de subsidiarité énoncé à l’article 5, paragraphe 3, du traité sur l’Union européenne.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3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quater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quater)</w:t>
            </w:r>
            <w:r w:rsidRPr="00A53FF9">
              <w:rPr>
                <w:b/>
                <w:i/>
              </w:rPr>
              <w:tab/>
              <w:t>L’évaluation effectuée par les autorités compétentes des États membres constitue une étape essentielle de la procédure. Grâce aux connaissances, à l’expertise et à l’accès aux données et aux éléments de fait dont ils disposent, les États membres sont les mieux placés pour vérifier si une demande concernant une appellation d’origine ou une indication géographique remplit les conditions d’obtention de la protection. Les États membres devraient dès lors garantir que les résultats de cette évaluation, fidèlement consignés dans un document unique résumant les éléments pertinents du cahier des charges, sont fiables et exacts. Eu égard au principe de subsidiarité, il convient que la Commission procède ensuite à un examen approfondi des demandes afin de s’assurer qu’elles ne comportent pas d’erreurs manifestes et qu’elles tiennent compte du droit de l’Union et des intérêts des parties prenantes en dehors de l’État membre à l’origine de la demande.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9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quinquies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quinquies)</w:t>
            </w:r>
            <w:r w:rsidRPr="00A53FF9">
              <w:rPr>
                <w:b/>
                <w:i/>
              </w:rPr>
              <w:tab/>
              <w:t>Les producteurs de produits de la vigne portant une dénomination protégée en tant qu’appellation d’origine ou indication géographique évoluent sur un marché changeant et exigeant. Alors qu’ils ont besoin de procédures leur permettant de s’adapter rapidement aux demandes du marché, ils sont au contraire pénalisés par la longueur et la complexité de la procédure de modification en vigueur, qui limitent leur faculté de réaction sur le marché. Les producteurs de produits de la vigne portant une dénomination protégée en tant qu’appellation d’origine ou indication géographique devraient également avoir la possibilité de tenir compte de l’évolution des connaissances scientifiques et techniques et des changements environnementaux. Afin de réduire les étapes de ces procédures et d’appliquer dans ce domaine le principe de subsidiarité, il importe que les décisions relatives aux modifications qui ne portent pas sur des éléments essentiels du cahier des charges puissent être approuvées au niveau de l’État membre. Les producteurs devraient pouvoir appliquer ces modifications dès la conclusion de la procédure nationale. Il ne devrait pas être nécessaire de faire réexaminer la demande pour approbation au niveau de l’Union.</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15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152</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sexies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sexies)</w:t>
            </w:r>
            <w:r w:rsidRPr="00A53FF9">
              <w:rPr>
                <w:b/>
                <w:i/>
              </w:rPr>
              <w:tab/>
              <w:t>Toutefois, pour protéger les intérêts des tiers établis dans d’autres États membres que celui dans lequel les produits de la vignes sont élaborés, il importe que l'approbation des modifications exigeant une procédure d’opposition au niveau de l’Union continue d’être du ressort de la Commission. Il y a lieu, par conséquent, d’instaurer une nouvelle classification des modifications: les modifications standard, qui ne donnent pas lieu à procédure d’opposition au niveau de l’Union et s'appliquent donc dès l’approbation par l’État membre, et les modifications au niveau de l’Union, qui s’appliquent uniquement après approbation par la Commission, à l’issue de la procédure d’opposition menée au niveau de l’Union.</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16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septies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septies)</w:t>
            </w:r>
            <w:r w:rsidRPr="00A53FF9">
              <w:rPr>
                <w:b/>
                <w:i/>
              </w:rPr>
              <w:tab/>
              <w:t>Il convient d’introduire la notion de «modification temporaire» afin que les produits de la vigne portant une appellation d’origine protégée ou une indication géographique protégée puissent continuer d’être commercialisés sous ces dénominations protégées encas de catastrophe naturelle ou de mauvaises conditions météorologiques ou encore en cas d’adoption de mesures sanitaires ou phytosanitaires empêchant temporairement des opérateurs de respecter le cahier des charges. En raison de leur caractère d’urgence, il importe que les modifications temporaires s’appliquent dès leur approbation par l’État membre. La liste des motifs d’urgence justifiant l’adoption de modifications temporaires est exhaustive du fait du caractère exceptionnel de ces modifications.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17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octies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octies)</w:t>
            </w:r>
            <w:r w:rsidRPr="00A53FF9">
              <w:rPr>
                <w:b/>
                <w:i/>
              </w:rPr>
              <w:tab/>
              <w:t>Il importe que les modifications de l’Union suivent la procédure régissant les demandes de protection pour qu’elles aient la même efficacité et les mêmes garanties. Elles devraient s’appliquer mutatis mutandis, à l’exclusion de certaines étapes, qui devraient être supprimées à des fins de réduction de la charge administrative. Il convient de définir la procédure à suivre pour les modifications standard et les modifications temporaires afin de permettre aux États membres d’évaluer les demandes de manière appropriée et de garantir la cohérence de l’approche adoptée dans l’ensemble des États membres. L’évaluation effectuée par les États membres devrait être équivalente, en termes de rigueur et d’exhaustivité, à l’évaluation menée dans le cadre de la procédure régissant les demandes de protection.</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18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155</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nonies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nonies)</w:t>
            </w:r>
            <w:r w:rsidRPr="00A53FF9">
              <w:rPr>
                <w:b/>
                <w:i/>
              </w:rPr>
              <w:tab/>
              <w:t>Il importe que les modifications standard et les modifications temporaires relatives aux appellations d’origine protégées et aux indications géographiques protégées de pays tiers s’effectuent selon l’approche prévue pour les États membres et que les décisions d’approbation soient prises conformément au système en vigueur dans le pays tiers concerné.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19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17 decies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(17 decies)</w:t>
            </w:r>
            <w:r w:rsidRPr="00A53FF9">
              <w:rPr>
                <w:b/>
                <w:i/>
              </w:rPr>
              <w:tab/>
              <w:t>Afin de protéger les intérêts légitimes des opérateurs tout en tenant compte du principe de concurrence et de l’obligation de communiquer des informations appropriées aux consommateurs, il y a lieu d'adopter des règles sur l'étiquetage temporaire et la présentation des produits de la vigne dont la dénomination a fait l’objet d’une demande de protection en tant qu’appellation d’origine ou indication géographique.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aligner le texte de l'OCM unique avec l'adoption par la Commission européenne du règlement délégué (UE) du 17 octobre 2018 adopté en vertu du règlement 1308/2013 et introduire dans cet acte de base les principes politiques sous-jacents à cette révision. Le présent amendement correspond au considérant 21 dudit règlement délégué.</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0218A0">
        <w:t>Amendement</w:t>
      </w:r>
      <w:r w:rsidRPr="000218A0">
        <w:tab/>
      </w:r>
      <w:r w:rsidRPr="000218A0">
        <w:tab/>
      </w:r>
      <w:r>
        <w:rPr>
          <w:rStyle w:val="HideTWBExt"/>
          <w:b w:val="0"/>
        </w:rPr>
        <w:t>&lt;NumAm&gt;</w:t>
      </w:r>
      <w:r w:rsidRPr="000218A0">
        <w:t>157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218A0">
        <w:t>Georgios Epitideios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218A0">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218A0">
        <w:t>Considérant 19</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218A0" w:rsidRDefault="002F2A46" w:rsidP="003A3553">
            <w:pPr>
              <w:pStyle w:val="ColumnHeading"/>
              <w:keepNext/>
              <w:rPr>
                <w:noProof/>
              </w:rPr>
            </w:pPr>
            <w:r w:rsidRPr="000218A0">
              <w:t>Texte proposé par la Commission</w:t>
            </w:r>
          </w:p>
        </w:tc>
        <w:tc>
          <w:tcPr>
            <w:tcW w:w="4876" w:type="dxa"/>
            <w:hideMark/>
          </w:tcPr>
          <w:p w:rsidR="002F2A46" w:rsidRPr="000218A0" w:rsidRDefault="002F2A46" w:rsidP="003A3553">
            <w:pPr>
              <w:pStyle w:val="ColumnHeading"/>
              <w:keepNext/>
              <w:rPr>
                <w:noProof/>
              </w:rPr>
            </w:pPr>
            <w:r w:rsidRPr="000218A0">
              <w:t>Amendement</w:t>
            </w:r>
          </w:p>
        </w:tc>
      </w:tr>
      <w:tr w:rsidR="002F2A46" w:rsidRPr="00A53FF9" w:rsidTr="003A3553">
        <w:trPr>
          <w:jc w:val="center"/>
        </w:trPr>
        <w:tc>
          <w:tcPr>
            <w:tcW w:w="4876" w:type="dxa"/>
            <w:hideMark/>
          </w:tcPr>
          <w:p w:rsidR="002F2A46" w:rsidRPr="000218A0" w:rsidRDefault="002F2A46" w:rsidP="003A3553">
            <w:pPr>
              <w:pStyle w:val="Normal6"/>
              <w:rPr>
                <w:noProof/>
              </w:rPr>
            </w:pPr>
            <w:r w:rsidRPr="000218A0">
              <w:t>(19)</w:t>
            </w:r>
            <w:r w:rsidRPr="000218A0">
              <w:tab/>
              <w:t xml:space="preserve">Il devrait être possible de retirer la protection accordée à une appellation d’origine ou à une indication géographique dans les cas où </w:t>
            </w:r>
            <w:r w:rsidRPr="000218A0">
              <w:rPr>
                <w:b/>
                <w:i/>
              </w:rPr>
              <w:t xml:space="preserve">elles ne sont plus utilisées ou </w:t>
            </w:r>
            <w:r w:rsidRPr="000218A0">
              <w:t>le demandeur visé à l’article 95 du règlement (UE) n° 1308/2013 ne souhaite plus maintenir cette protection.</w:t>
            </w:r>
          </w:p>
        </w:tc>
        <w:tc>
          <w:tcPr>
            <w:tcW w:w="4876" w:type="dxa"/>
            <w:hideMark/>
          </w:tcPr>
          <w:p w:rsidR="002F2A46" w:rsidRPr="000218A0" w:rsidRDefault="002F2A46" w:rsidP="003A3553">
            <w:pPr>
              <w:pStyle w:val="Normal6"/>
              <w:rPr>
                <w:noProof/>
                <w:szCs w:val="24"/>
              </w:rPr>
            </w:pPr>
            <w:r w:rsidRPr="000218A0">
              <w:t>(19)</w:t>
            </w:r>
            <w:r w:rsidRPr="000218A0">
              <w:tab/>
              <w:t>Il devrait être possible de retirer la protection accordée à une appellation d’origine ou à une indication géographique dans les cas où le demandeur visé à l’article 95 du règlement (UE) n° 1308/2013 ne souhaite plus maintenir cette protection</w:t>
            </w:r>
            <w:r w:rsidRPr="000218A0">
              <w:rPr>
                <w:b/>
                <w:i/>
              </w:rPr>
              <w:t xml:space="preserve"> ou lorsque cette protection a été accordée sur la base de fausses informations</w:t>
            </w:r>
            <w:r w:rsidRPr="000218A0">
              <w:t>.</w:t>
            </w:r>
          </w:p>
        </w:tc>
      </w:tr>
    </w:tbl>
    <w:p w:rsidR="002F2A46" w:rsidRPr="00A53FF9" w:rsidRDefault="002F2A46" w:rsidP="002F2A46">
      <w:pPr>
        <w:pStyle w:val="Olang"/>
        <w:rPr>
          <w:szCs w:val="24"/>
        </w:rPr>
      </w:pPr>
      <w:r w:rsidRPr="000218A0">
        <w:t xml:space="preserve">Or. </w:t>
      </w:r>
      <w:r w:rsidRPr="00AB4570">
        <w:rPr>
          <w:rStyle w:val="HideTWBExt"/>
        </w:rPr>
        <w:t>&lt;Original&gt;</w:t>
      </w:r>
      <w:r w:rsidRPr="00AB4570">
        <w:rPr>
          <w:rStyle w:val="HideTWBInt"/>
        </w:rPr>
        <w:t>{EL}</w:t>
      </w:r>
      <w:r w:rsidRPr="000218A0">
        <w:t>el</w:t>
      </w:r>
      <w:r w:rsidRPr="00AB4570">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158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20</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(20)</w:t>
            </w:r>
            <w:r w:rsidRPr="00A53FF9">
              <w:rPr>
                <w:b/>
                <w:i/>
              </w:rPr>
              <w:tab/>
              <w:t>Compte tenu de l’augmentation continue de la demande des consommateurs pour des produits de la vigne innovants à titre alcoométrique acquis inférieur au titre alcoométrique acquis minimal fixé pour les produits de la vigne visés à l'annexe VII, partie II, du règlement (UE) n° 1308/2013, il devrait être possible de produire de tels produits de la vigne innovants également dans l’Union.</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159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 Michel Dantin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20</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(20)</w:t>
            </w:r>
            <w:r w:rsidRPr="00421CE3">
              <w:rPr>
                <w:b/>
                <w:i/>
              </w:rPr>
              <w:tab/>
              <w:t>Compte tenu de l’augmentation continue de la demande des consommateurs pour des produits de la vigne innovants à titre alcoométrique acquis inférieur au titre alcoométrique acquis minimal fixé pour les produits de la vigne visés à l'annexe VII, partie II, du règlement (UE) n° 1308/2013, il devrait être possible de produire de tels produits de la vigne innovants également dans l’Union.</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peux apporter mon soutien à l’ajout des vins désalcoolisés et aromatisés dans la législation relative à l’OCM unique.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160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21</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(21)</w:t>
            </w:r>
            <w:r w:rsidRPr="00A53FF9">
              <w:rPr>
                <w:b/>
                <w:i/>
              </w:rPr>
              <w:tab/>
              <w:t>Il est nécessaire de prévoir des définitions des produits de la vigne désalcoolisés et des produits de la vigne partiellement désalcoolisés. Ces définitions devraient tenir compte des définitions figurant dans les résolutions de l’Organisation internationale de la vigne et du vin (OIV), OIV-ECO 433-2012 Boisson obtenue par désalcoolisation partielle du vin et OIV-ECO 523-2016 Vin à teneur en alcool modifiée par la désalcoolisation.</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161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 Michel Dantin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(21)</w:t>
            </w:r>
            <w:r w:rsidRPr="00421CE3">
              <w:rPr>
                <w:b/>
                <w:i/>
              </w:rPr>
              <w:tab/>
              <w:t>Il est nécessaire de prévoir des définitions des produits de la vigne désalcoolisés et des produits de la vigne partiellement désalcoolisés. Ces définitions devraient tenir compte des définitions figurant dans les résolutions de l’Organisation internationale de la vigne et du vin (OIV), OIV-ECO 433-2012 Boisson obtenue par désalcoolisation partielle du vin et OIV-ECO 523-2016 Vin à teneur en alcool modifiée par la désalcoolisation.</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peux apporter mon soutien à l’ajout des vins désalcoolisés et aromatisés dans la législation relative à l’OCM unique.</w:t>
      </w:r>
    </w:p>
    <w:p w:rsidR="002F2A46" w:rsidRPr="00A53FF9" w:rsidRDefault="002F2A46" w:rsidP="002F2A46">
      <w:pPr>
        <w:rPr>
          <w:noProof/>
        </w:rPr>
      </w:pPr>
      <w:r>
        <w:rPr>
          <w:rStyle w:val="HideTWBExt"/>
        </w:rPr>
        <w:t>&lt;/Amend&gt;</w:t>
      </w:r>
    </w:p>
    <w:p w:rsidR="002F2A46" w:rsidRPr="00657CF9" w:rsidRDefault="002F2A46" w:rsidP="002F2A46">
      <w:pPr>
        <w:pStyle w:val="AMNumberTabs"/>
        <w:keepNext/>
        <w:rPr>
          <w:noProof/>
          <w:lang w:val="it-IT"/>
        </w:rPr>
      </w:pPr>
      <w:r w:rsidRPr="00657CF9">
        <w:rPr>
          <w:rStyle w:val="HideTWBExt"/>
          <w:b w:val="0"/>
          <w:lang w:val="it-IT"/>
        </w:rPr>
        <w:t>&lt;Amend&gt;</w:t>
      </w:r>
      <w:r w:rsidRPr="00657CF9">
        <w:rPr>
          <w:lang w:val="it-IT"/>
        </w:rPr>
        <w:t>Amendement</w:t>
      </w:r>
      <w:r w:rsidRPr="00657CF9">
        <w:rPr>
          <w:lang w:val="it-IT"/>
        </w:rPr>
        <w:tab/>
      </w:r>
      <w:r w:rsidRPr="00657CF9">
        <w:rPr>
          <w:lang w:val="it-IT"/>
        </w:rPr>
        <w:tab/>
      </w:r>
      <w:r w:rsidRPr="00657CF9">
        <w:rPr>
          <w:rStyle w:val="HideTWBExt"/>
          <w:b w:val="0"/>
          <w:lang w:val="it-IT"/>
        </w:rPr>
        <w:t>&lt;NumAm&gt;</w:t>
      </w:r>
      <w:r w:rsidRPr="00657CF9">
        <w:rPr>
          <w:lang w:val="it-IT"/>
        </w:rPr>
        <w:t>162</w:t>
      </w:r>
      <w:r w:rsidRPr="00657CF9">
        <w:rPr>
          <w:rStyle w:val="HideTWBExt"/>
          <w:b w:val="0"/>
          <w:lang w:val="it-IT"/>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Mara Bizzotto, Angelo Ciocca, Giancarlo Scottà</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Considérant 21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rPr>
                <w:b/>
                <w:i/>
              </w:rPr>
              <w:t>(21)</w:t>
            </w:r>
            <w:r w:rsidRPr="000A2FD1">
              <w:rPr>
                <w:b/>
                <w:i/>
              </w:rPr>
              <w:tab/>
              <w:t>Il est nécessaire de prévoir des définitions des produits de la vigne désalcoolisés et des produits de la vigne partiellement désalcoolisés. Ces définitions devraient tenir compte des définitions figurant dans les résolutions de l’Organisation internationale de la vigne et du vin (OIV), OIV-ECO 433-2012 Boisson obtenue par désalcoolisation partielle du vin et OIV-ECO 523-2016 Vin à teneur en alcool modifiée par la désalcoolisation.</w:t>
            </w:r>
          </w:p>
        </w:tc>
        <w:tc>
          <w:tcPr>
            <w:tcW w:w="4876" w:type="dxa"/>
            <w:hideMark/>
          </w:tcPr>
          <w:p w:rsidR="002F2A46" w:rsidRPr="000A2FD1" w:rsidRDefault="002F2A46" w:rsidP="003A3553">
            <w:pPr>
              <w:pStyle w:val="Normal6"/>
              <w:rPr>
                <w:noProof/>
                <w:szCs w:val="24"/>
              </w:rPr>
            </w:pPr>
            <w:r w:rsidRPr="000A2FD1">
              <w:rPr>
                <w:b/>
                <w:i/>
              </w:rPr>
              <w:t>supprimé</w:t>
            </w: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pStyle w:val="JustificationTitle"/>
      </w:pPr>
      <w:r>
        <w:rPr>
          <w:rStyle w:val="HideTWBExt"/>
          <w:i w:val="0"/>
        </w:rPr>
        <w:t>&lt;TitreJust&gt;</w:t>
      </w:r>
      <w:r w:rsidRPr="000A2FD1">
        <w:t>Justification</w:t>
      </w:r>
      <w:r>
        <w:rPr>
          <w:rStyle w:val="HideTWBExt"/>
          <w:i w:val="0"/>
        </w:rPr>
        <w:t>&lt;/TitreJust&gt;</w:t>
      </w:r>
    </w:p>
    <w:p w:rsidR="002F2A46" w:rsidRPr="00A53FF9" w:rsidRDefault="002F2A46" w:rsidP="002F2A46">
      <w:pPr>
        <w:pStyle w:val="Normal12Italic"/>
      </w:pPr>
      <w:r>
        <w:t>Nous ne partageons le fait d’appliquer la définition des vins désalcoolisés aux vins bénéficiant d’une appellation d’origine contrôlée.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163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22</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(22)</w:t>
            </w:r>
            <w:r w:rsidRPr="00A53FF9">
              <w:rPr>
                <w:b/>
                <w:i/>
              </w:rPr>
              <w:tab/>
              <w:t>Afin de garantir que les règles régissant l’étiquetage et la présentation des produits du secteur vitivinicole s’appliquent également aux produits de la vigne désalcoolisés ou partiellement désalcoolisés, d’établir des règles régissant les procédés de désalcoolisation pour la production de certains produits de la vigne désalcoolisés ou partiellement désalcoolisés au sein de l’Union, ainsi que des règles concernant les conditions d’utilisation des dispositifs de fermeture dans le secteur vitivinicole pour veiller à protéger les consommateurs contre toute utilisation trompeuse de certains dispositifs de fermeture associés à certaines boissons et de matériaux de fermeture dangereux pouvant contaminer les boissons, il y a lieu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657CF9" w:rsidRDefault="002F2A46" w:rsidP="002F2A46">
      <w:pPr>
        <w:pStyle w:val="AMNumberTabs"/>
        <w:keepNext/>
        <w:rPr>
          <w:noProof/>
          <w:lang w:val="it-IT"/>
        </w:rPr>
      </w:pPr>
      <w:r w:rsidRPr="00657CF9">
        <w:rPr>
          <w:rStyle w:val="HideTWBExt"/>
          <w:b w:val="0"/>
          <w:lang w:val="it-IT"/>
        </w:rPr>
        <w:t>&lt;Amend&gt;</w:t>
      </w:r>
      <w:r w:rsidRPr="00657CF9">
        <w:rPr>
          <w:lang w:val="it-IT"/>
        </w:rPr>
        <w:t>Amendement</w:t>
      </w:r>
      <w:r w:rsidRPr="00657CF9">
        <w:rPr>
          <w:lang w:val="it-IT"/>
        </w:rPr>
        <w:tab/>
      </w:r>
      <w:r w:rsidRPr="00657CF9">
        <w:rPr>
          <w:lang w:val="it-IT"/>
        </w:rPr>
        <w:tab/>
      </w:r>
      <w:r w:rsidRPr="00657CF9">
        <w:rPr>
          <w:rStyle w:val="HideTWBExt"/>
          <w:b w:val="0"/>
          <w:lang w:val="it-IT"/>
        </w:rPr>
        <w:t>&lt;NumAm&gt;</w:t>
      </w:r>
      <w:r w:rsidRPr="00657CF9">
        <w:rPr>
          <w:lang w:val="it-IT"/>
        </w:rPr>
        <w:t>164</w:t>
      </w:r>
      <w:r w:rsidRPr="00657CF9">
        <w:rPr>
          <w:rStyle w:val="HideTWBExt"/>
          <w:b w:val="0"/>
          <w:lang w:val="it-IT"/>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Mara Bizzotto, Angelo Ciocca, Giancarlo Scottà</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Considérant 22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rPr>
                <w:b/>
                <w:i/>
              </w:rPr>
              <w:t>(22)</w:t>
            </w:r>
            <w:r w:rsidRPr="000A2FD1">
              <w:rPr>
                <w:b/>
                <w:i/>
              </w:rPr>
              <w:tab/>
              <w:t>Afin de garantir que les règles régissant l’étiquetage et la présentation des produits du secteur vitivinicole s’appliquent également aux produits de la vigne désalcoolisés ou partiellement désalcoolisés, d’établir des règles régissant les procédés de désalcoolisation pour la production de certains produits de la vigne désalcoolisés ou partiellement désalcoolisés au sein de l’Union, ainsi que des règles concernant les conditions d’utilisation des dispositifs de fermeture dans le secteur vitivinicole pour veiller à protéger les consommateurs contre toute utilisation trompeuse de certains dispositifs de fermeture associés à certaines boissons et de matériaux de fermeture dangereux pouvant contaminer les boissons, il y a lieu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tc>
        <w:tc>
          <w:tcPr>
            <w:tcW w:w="4876" w:type="dxa"/>
            <w:hideMark/>
          </w:tcPr>
          <w:p w:rsidR="002F2A46" w:rsidRPr="000A2FD1" w:rsidRDefault="002F2A46" w:rsidP="003A3553">
            <w:pPr>
              <w:pStyle w:val="Normal6"/>
              <w:rPr>
                <w:noProof/>
                <w:szCs w:val="24"/>
              </w:rPr>
            </w:pPr>
            <w:r w:rsidRPr="000A2FD1">
              <w:rPr>
                <w:b/>
                <w:i/>
              </w:rPr>
              <w:t>supprimé</w:t>
            </w: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pStyle w:val="JustificationTitle"/>
      </w:pPr>
      <w:r>
        <w:rPr>
          <w:rStyle w:val="HideTWBExt"/>
          <w:i w:val="0"/>
        </w:rPr>
        <w:t>&lt;TitreJust&gt;</w:t>
      </w:r>
      <w:r w:rsidRPr="000A2FD1">
        <w:t>Justification</w:t>
      </w:r>
      <w:r>
        <w:rPr>
          <w:rStyle w:val="HideTWBExt"/>
          <w:i w:val="0"/>
        </w:rPr>
        <w:t>&lt;/TitreJust&gt;</w:t>
      </w:r>
    </w:p>
    <w:p w:rsidR="002F2A46" w:rsidRPr="00A53FF9" w:rsidRDefault="002F2A46" w:rsidP="002F2A46">
      <w:pPr>
        <w:pStyle w:val="Normal12Italic"/>
      </w:pPr>
      <w:r>
        <w:t>Nous ne partageons le fait d’appliquer la définition des vins désalcoolisés aux vins bénéficiant d’une appellation d’origine contrôlée.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165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 Michel Dantin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(22)</w:t>
            </w:r>
            <w:r w:rsidRPr="00421CE3">
              <w:rPr>
                <w:b/>
                <w:i/>
              </w:rPr>
              <w:tab/>
              <w:t>Afin de garantir que les règles régissant l’étiquetage et la présentation des produits du secteur vitivinicole s’appliquent également aux produits de la vigne désalcoolisés ou partiellement désalcoolisés, d’établir des règles régissant les procédés de désalcoolisation pour la production de certains produits de la vigne désalcoolisés ou partiellement désalcoolisés au sein de l’Union, ainsi que des règles concernant les conditions d’utilisation des dispositifs de fermeture dans le secteur vitivinicole pour veiller à protéger les consommateurs contre toute utilisation trompeuse de certains dispositifs de fermeture associés à certaines boissons et de matériaux de fermeture dangereux pouvant contaminer les boissons, il y a lieu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peux apporter mon soutien à l’ajout des vins désalcoolisés et aromatisés dans la législation relative à l’OCM unique.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166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22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(22 bis)</w:t>
            </w:r>
            <w:r w:rsidRPr="00A53FF9">
              <w:rPr>
                <w:b/>
                <w:i/>
              </w:rPr>
              <w:tab/>
              <w:t>Le considérant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Lors de la mise en application par acte délégué de l'article 119 paragraphe 1 point g ter) sur l'étiquetage obligatoire de la liste des ingrédients contenus dans le vin, cette liste n'est pas présentée par lot.</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Lors de la prise des mesures d'application de l'étiquetage de la liste des ingrédients contenus dans le vin il faudra veiller à ne pas compliquer à l'excès la tâche des viticulteurs, en faisant en sorte que l'information se fasse sur l'ensemble de la production de son année et non pas sur chaque lot vendu à différents moments de l'année.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167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23</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rPr>
              <w:t>(23)</w:t>
            </w:r>
            <w:r w:rsidRPr="00DE5BAE">
              <w:rPr>
                <w:b/>
                <w:i/>
              </w:rPr>
              <w:tab/>
              <w:t>Les règles relatives à la production et les exigences applicables au secteur du sucre ont expiré à la fin de la campagne de commercialisation 2016/2017. Étant désormais obsolètes, l’article 124 et les articles 127 à 144 du règlement (UE) n° 1308/2013 devraient être supprimés.</w:t>
            </w:r>
          </w:p>
        </w:tc>
        <w:tc>
          <w:tcPr>
            <w:tcW w:w="4876" w:type="dxa"/>
            <w:hideMark/>
          </w:tcPr>
          <w:p w:rsidR="002F2A46" w:rsidRPr="00DE5BAE" w:rsidRDefault="002F2A46" w:rsidP="003A3553">
            <w:pPr>
              <w:pStyle w:val="Normal6"/>
              <w:rPr>
                <w:noProof/>
                <w:szCs w:val="24"/>
              </w:rPr>
            </w:pPr>
            <w:r w:rsidRPr="00DE5BAE">
              <w:rPr>
                <w:b/>
                <w:i/>
              </w:rPr>
              <w:t>supprimé</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168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bis)</w:t>
            </w:r>
            <w:r w:rsidRPr="00A53FF9">
              <w:rPr>
                <w:b/>
                <w:i/>
              </w:rPr>
              <w:tab/>
              <w:t>Afin d'assurer une sécurité juridique en vue d’un développement viable de la production laitière européenne et prendre compte du rétrécissement du marché unique suite à la sortie du Royaume-Uni de l’Union européenne, il convient de mettre à jour les limites quantitatives européennes appliquées aux possibilités, données aux organisations de producteurs constituées par des producteurs laitiers ou à leurs associations, de négocier collectivement avec une laiterie les clauses des contrats, y compris les prix, pour une partie ou pour la totalité de la production de lait cru de leurs membres.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les modifications proposées à l'article 149 qui visent à opérer un ajustement technique aux règles autorisant les producteurs de lait à mener des négociations contractuelles tant que le volume de lait cru n'excède pas 3,5% de la production totale de l'Union. Or du fait de la sortie du Royaume-Uni de l’Union, le marché intérieur sera plus restreint, il est donc simplement proposé d’ajuster le volume de lait cru au marché intérieur à 27 Etats membres en le faisant passer de 3,5 à 4%.</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169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ter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ter)</w:t>
            </w:r>
            <w:r w:rsidRPr="00A53FF9">
              <w:rPr>
                <w:b/>
                <w:i/>
              </w:rPr>
              <w:tab/>
              <w:t>Afin de prendre en compte les évolutions législatives récentes concrétisées dans le règlement (UE) 2017/2393 et mettre fin à certaines règles spécifiques devenues limitatives par rapport au régime général, il convient de préciser que les organisations de producteurs constituées par des producteurs laitiers ou leurs associations peuvent être reconnues en vertu des articles 152 et 161 et de supprimer les règles spécifiques relatives aux organisations interprofessionnelles reconnues dans le secteur du lait et des produits laitiers, en ce qui concerne leur reconnaissance et les règles de retrait de ladite reconnaissance.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avec les modifications introduites aux articles 150, 157, 158 et 163, qui visent à clarifier les possibilités de reconnaissances des organisations de producteurs laitières et à aligner en partie le régime dérogatoire des interprofessions dans le secteur du lait et des produits laitiers sur le régime général des interprofessions.Cette dernière différentiation issue du Paquet lait n’a en effet plus lieu d’être et sa suppression permettra aux interprofessions laitières d’accéder à certains nouveaux pouvoirs.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170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quater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quater)</w:t>
            </w:r>
            <w:r w:rsidRPr="00A53FF9">
              <w:rPr>
                <w:b/>
                <w:i/>
              </w:rPr>
              <w:tab/>
              <w:t>Il y a lieu de codifier les règles relatives à la reconnaissance des organisations transnationales de producteurs, des associations transnationales d'organisations de producteurs et des organisations interprofessionnelles transnationales, ainsi que des règles clarifiant la responsabilité des États membres concernés. Tout en respectant la liberté d'établissement mais en prenant acte des difficultés pour ces organisations à être reconnues par l'État membre dans lequel ces organisations et associations comptent un nombre significatif de membres ou dans lequel elles disposent d'une production commercialisable d'un volume significatif ou d'une valeur significative ou pour les organisations interprofessionnelles l'État membre dans lequel elles ont leur siège de décider de leur reconnaissance, il convient d'octroyer la responsabilité de la reconnaissance de ces organisations et associations à la Commission européenne et d'établir des règles concernant la mise en place de l'assistance administrative nécessaire de la part des États membres entre eux et vis à vis de la Commission européenne afin qu'elle puisse déterminer si une organisation ou une association remplit les conditions de reconnaissance ou fasse face aux cas de non-conformité.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la proposition de nouvel article 158 ter qui vise à codifier dans l'acte de base les règles relatives aux organisations transnationales reconnues (OP, AOP ou OI) contenue dans le règlement délégué 2016/232. Il opère néanmoins une modification importante, visant à octroyer le pouvoir à la Commission européenne de statuer sur ces organisations transnationales, les principes de coopération administrative entre les Etats membres pour la reconnaissance de telles entités n'ayant pas fait leur preuves.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171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quinquies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quinquies)</w:t>
            </w:r>
            <w:r w:rsidRPr="00A53FF9">
              <w:rPr>
                <w:b/>
                <w:i/>
              </w:rPr>
              <w:tab/>
              <w:t>Afin de permettre aux producteurs agricoles de faire face à la concentration croissante des autres maillons de la chaine de valeur en amont comme en aval de l'offre agricole, il convient d'ouvrir la possibilité aux associations d'organisations de producteurs de participer à la création d'association d'organisation de producteurs. De même afin de répondre aux mêmes objectifs, il convient de permettre aux organisations interprofessionnelles de créer des associations d'organisations interprofessionnelles.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les modifications relatives à l'article 156 et la proposition de nouvel article 158bis qui visent à autoriser des associations d'organisations de producteurs de participer à la création d'associations d'organisations de producteurs à introduire dans le Règlement 1308/2013 la possibilité de reconnaître des associations d'organisations interprofessionnelles sur le modèle des associations d'organisation de producteurs.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172</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sexies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sexies)</w:t>
            </w:r>
            <w:r w:rsidRPr="00A53FF9">
              <w:rPr>
                <w:b/>
                <w:i/>
              </w:rPr>
              <w:tab/>
              <w:t>Au vu de l'importance des appellations d'origine protégées (AOP) et des indications géographiques protégées (IGP) dans la production agricole européenne et compte tenu du succès de la mise en place des règles de gestion de l'offre de fromages et de jambon sec sous signes de qualité afin de garantir la valeur ajoutée et de préserver la qualité de ces produits, il convient d'étendre le bénéfice de ces règles à l'ensemble des produits agricoles sous signes de qualité. Les États membres devraient donc être autorisés à appliquer des règles visant à réguler l'ensemble de l'offre pour les produits agricoles sous signe de qualité produits dans une aire géographique délimitée à la demande d'une organisation interprofessionnelle, d'une organisation de producteurs ou d'un groupement tel que défini par le règlement (UE) n°1151/2012, pour autant qu'une large majorité des producteurs dudit produit et, le cas échéant, des producteurs agricoles dans l'aire géographique concernée, soient favorables à ces règles.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les modifications introduites à l'article 172 et vise à prendre acte du succès des mécanismes de gestion de l’offre de fromages et de jambon, prévues aux articles 150 et 172 du présent règlement et vise à étendre ces possibilités aux autres produits agricoles bénéficiant d'une appellation d'origine protégée ou d'une indication géographique protégée conformément à l'article 5, paragraphes 1) et 2), du règlement (UE) n o 1151/2012. Il maintient néanmoins la spécificité existante pour les fromages à l’article 150.</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173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septies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septies)</w:t>
            </w:r>
            <w:r w:rsidRPr="00A53FF9">
              <w:rPr>
                <w:b/>
                <w:i/>
              </w:rPr>
              <w:tab/>
              <w:t xml:space="preserve">Afin de favoriser une meilleure transmission des signaux du marché et de renforcer les liens entre les prix à la production et la valeur ajoutée tout au long de la chaîne d'approvisionnement, il convient d’étendre les mécanismes de répartition de la valeur entre agriculteurs, y compris les associations d’agriculteurs, avec leurs premiers acheteurs, au reste de l’ensemble des filières de produits bénéficiant d'un signe de qualité reconnu par le droit européen et par le droit national. Les agriculteurs, y compris les associations d’agriculteurs, devraient pouvoir être autoriser à convenir avec les acteurs opérant à différents stades de la production, de la transformation et de la commercialisation de clause de répartition de la valeur, y compris les gains et les pertes enregistrés sur le marché. </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174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23 octies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(23 octies)</w:t>
            </w:r>
            <w:r w:rsidRPr="00A53FF9">
              <w:rPr>
                <w:b/>
                <w:i/>
              </w:rPr>
              <w:tab/>
              <w:t>Afin d'assurer l'utilisation efficace de tous types de clauses de la répartition de la valeur, il convient de préciser que lesdites clauses pourraient se fonder notamment sur des indicateurs économiques relatifs aux coûts pertinents de production et de commercialisation et à leur évolution, aux prix des produits agricoles et alimentaires constatés sur le ou les marchés concernés et à leur évolution ou aux quantités, à la composition, à la qualité, à la traçabilité ou, le cas échéant au respect d’un cahier des charges.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175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24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(24 bis)</w:t>
            </w:r>
            <w:r w:rsidRPr="00DE5BAE">
              <w:rPr>
                <w:b/>
                <w:i/>
              </w:rPr>
              <w:tab/>
              <w:t>Les États membres peuvent, sur demande, décider d'accorder plusieurs reconnaissances à une organisation de producteurs opérant dans plusieurs des secteurs visés à l'article 1</w:t>
            </w:r>
            <w:r w:rsidRPr="00DE5BAE">
              <w:rPr>
                <w:b/>
                <w:i/>
                <w:vertAlign w:val="superscript"/>
              </w:rPr>
              <w:t>er</w:t>
            </w:r>
            <w:r w:rsidRPr="00DE5BAE">
              <w:rPr>
                <w:b/>
                <w:i/>
              </w:rPr>
              <w:t>, paragraphe 2, du règlement (UE) 1308/2013, à condition que l'organisation de producteurs remplisse les conditions énoncées à l'article 154, paragraphe 1, du règlement (UE) n ° 1308/2013 pour chaque secteur dans lequel la reconnaissance est demandée;</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176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(24 bis)</w:t>
            </w:r>
            <w:r w:rsidRPr="00421CE3">
              <w:rPr>
                <w:b/>
                <w:i/>
              </w:rPr>
              <w:tab/>
              <w:t>Les États membres peuvent, sur demande, décider d’octroyer plus d’une reconnaissance à une organisation de producteurs opérant dans plusieurs secteurs visés à l’article 1</w:t>
            </w:r>
            <w:r w:rsidRPr="00421CE3">
              <w:rPr>
                <w:b/>
                <w:i/>
                <w:vertAlign w:val="superscript"/>
              </w:rPr>
              <w:t>er</w:t>
            </w:r>
            <w:r w:rsidRPr="00421CE3">
              <w:rPr>
                <w:b/>
                <w:i/>
              </w:rPr>
              <w:t>, paragraphe 2, du règlement (UE) nº 1308/2013, à condition que l’organisation de producteurs concernée remplisse les conditions visées au paragraphe 1 de l’article 154 dudit règlement pour chaque secteur pour lequel elle demande à être reconnue.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177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Matt Carthy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(24 bis)</w:t>
            </w:r>
            <w:r w:rsidRPr="00421CE3">
              <w:rPr>
                <w:b/>
                <w:i/>
              </w:rPr>
              <w:tab/>
              <w:t>Les États membres peuvent, sur demande, décider d’octroyer plus d’une reconnaissance à une organisation de producteurs opérant dans plusieurs secteurs, à condition que l’organisation de producteurs concernée remplisse les conditions visées à l’article154, paragraphe 1, du présent règlement.</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178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25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rPr>
              <w:t>(25)</w:t>
            </w:r>
            <w:r w:rsidRPr="00DE5BAE">
              <w:rPr>
                <w:b/>
                <w:i/>
              </w:rPr>
              <w:tab/>
              <w:t>Il convient de supprimer les articles 192 et 193 du règlement (UE) n° 1308/2013 car ces mesures ne sont plus nécessaires dans la perspective de la fin de la régulation de la production dans le secteur du sucre. Afin de veiller à ce que le marché de l’Union soit suffisamment approvisionné en procédant à des importations en provenance de pays tiers, il convient de conférer à la Commission des compétences d’exécution pour suspendre les droits à l’importation pour la mélasse de canne et de betterave.</w:t>
            </w:r>
          </w:p>
        </w:tc>
        <w:tc>
          <w:tcPr>
            <w:tcW w:w="4876" w:type="dxa"/>
            <w:hideMark/>
          </w:tcPr>
          <w:p w:rsidR="002F2A46" w:rsidRPr="00DE5BAE" w:rsidRDefault="002F2A46" w:rsidP="003A3553">
            <w:pPr>
              <w:pStyle w:val="Normal6"/>
              <w:rPr>
                <w:noProof/>
                <w:szCs w:val="24"/>
              </w:rPr>
            </w:pPr>
            <w:r w:rsidRPr="00DE5BAE">
              <w:rPr>
                <w:b/>
                <w:i/>
              </w:rPr>
              <w:t>supprimé</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218A0">
        <w:t>Amendement</w:t>
      </w:r>
      <w:r w:rsidRPr="000218A0">
        <w:tab/>
      </w:r>
      <w:r w:rsidRPr="000218A0">
        <w:tab/>
      </w:r>
      <w:r>
        <w:rPr>
          <w:rStyle w:val="HideTWBExt"/>
          <w:b w:val="0"/>
        </w:rPr>
        <w:t>&lt;NumAm&gt;</w:t>
      </w:r>
      <w:r w:rsidRPr="000218A0">
        <w:t>179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218A0">
        <w:t>Georgios Epitideios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218A0">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218A0">
        <w:t>Considérant 25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218A0" w:rsidRDefault="002F2A46" w:rsidP="003A3553">
            <w:pPr>
              <w:pStyle w:val="ColumnHeading"/>
              <w:keepNext/>
              <w:rPr>
                <w:noProof/>
              </w:rPr>
            </w:pPr>
            <w:r w:rsidRPr="000218A0">
              <w:t>Texte proposé par la Commission</w:t>
            </w:r>
          </w:p>
        </w:tc>
        <w:tc>
          <w:tcPr>
            <w:tcW w:w="4876" w:type="dxa"/>
            <w:hideMark/>
          </w:tcPr>
          <w:p w:rsidR="002F2A46" w:rsidRPr="000218A0" w:rsidRDefault="002F2A46" w:rsidP="003A3553">
            <w:pPr>
              <w:pStyle w:val="ColumnHeading"/>
              <w:keepNext/>
              <w:rPr>
                <w:noProof/>
              </w:rPr>
            </w:pPr>
            <w:r w:rsidRPr="000218A0">
              <w:t>Amendement</w:t>
            </w:r>
          </w:p>
        </w:tc>
      </w:tr>
      <w:tr w:rsidR="002F2A46" w:rsidRPr="00A53FF9" w:rsidTr="003A3553">
        <w:trPr>
          <w:jc w:val="center"/>
        </w:trPr>
        <w:tc>
          <w:tcPr>
            <w:tcW w:w="4876" w:type="dxa"/>
            <w:hideMark/>
          </w:tcPr>
          <w:p w:rsidR="002F2A46" w:rsidRPr="000218A0" w:rsidRDefault="002F2A46" w:rsidP="003A3553">
            <w:pPr>
              <w:pStyle w:val="Normal6"/>
              <w:rPr>
                <w:noProof/>
              </w:rPr>
            </w:pPr>
            <w:r w:rsidRPr="000218A0">
              <w:t>(25)</w:t>
            </w:r>
            <w:r w:rsidRPr="000218A0">
              <w:tab/>
              <w:t xml:space="preserve">Il convient de supprimer les articles 192 et 193 du règlement (UE) n° 1308/2013 car ces mesures ne sont plus nécessaires dans la perspective de la fin de la régulation de la production dans le secteur du sucre. Afin de veiller à ce que le marché de l’Union soit suffisamment approvisionné en procédant à des importations en provenance de pays tiers, il convient </w:t>
            </w:r>
            <w:r w:rsidRPr="000218A0">
              <w:rPr>
                <w:b/>
                <w:i/>
              </w:rPr>
              <w:t>de conférer à la Commission des compétences d’exécution pour suspendre les</w:t>
            </w:r>
            <w:r w:rsidRPr="000218A0">
              <w:t xml:space="preserve"> droits à l’importation pour la mélasse de canne et de betterave.</w:t>
            </w:r>
          </w:p>
        </w:tc>
        <w:tc>
          <w:tcPr>
            <w:tcW w:w="4876" w:type="dxa"/>
            <w:hideMark/>
          </w:tcPr>
          <w:p w:rsidR="002F2A46" w:rsidRPr="000218A0" w:rsidRDefault="002F2A46" w:rsidP="003A3553">
            <w:pPr>
              <w:pStyle w:val="Normal6"/>
              <w:rPr>
                <w:noProof/>
                <w:szCs w:val="24"/>
              </w:rPr>
            </w:pPr>
            <w:r w:rsidRPr="000218A0">
              <w:t>(25)</w:t>
            </w:r>
            <w:r w:rsidRPr="000218A0">
              <w:tab/>
              <w:t xml:space="preserve">Il convient de supprimer les articles 192 et 193 du règlement (UE) n° 1308/2013 car ces mesures ne sont plus nécessaires dans la perspective de la fin de la régulation de la production dans le secteur du sucre. Afin de veiller à ce que le marché de l’Union soit suffisamment approvisionné en procédant à des importations en provenance de pays tiers, il convient </w:t>
            </w:r>
            <w:r w:rsidRPr="000218A0">
              <w:rPr>
                <w:b/>
                <w:i/>
              </w:rPr>
              <w:t>que le Parlement européen formalise la suspension des</w:t>
            </w:r>
            <w:r w:rsidRPr="000218A0">
              <w:t xml:space="preserve"> droits à l’importation pour la mélasse de canne et de betterave.</w:t>
            </w:r>
          </w:p>
        </w:tc>
      </w:tr>
    </w:tbl>
    <w:p w:rsidR="002F2A46" w:rsidRPr="00CD03D8" w:rsidRDefault="002F2A46" w:rsidP="002F2A46">
      <w:pPr>
        <w:pStyle w:val="Olang"/>
        <w:rPr>
          <w:szCs w:val="24"/>
          <w:lang w:val="es-ES"/>
        </w:rPr>
      </w:pPr>
      <w:r w:rsidRPr="00CD03D8">
        <w:rPr>
          <w:lang w:val="es-ES"/>
        </w:rPr>
        <w:t xml:space="preserve">Or. </w:t>
      </w:r>
      <w:r w:rsidRPr="00CD03D8">
        <w:rPr>
          <w:rStyle w:val="HideTWBExt"/>
          <w:lang w:val="es-ES"/>
        </w:rPr>
        <w:t>&lt;Original&gt;</w:t>
      </w:r>
      <w:r w:rsidRPr="00CD03D8">
        <w:rPr>
          <w:rStyle w:val="HideTWBInt"/>
          <w:lang w:val="es-ES"/>
        </w:rPr>
        <w:t>{EL}</w:t>
      </w:r>
      <w:r w:rsidRPr="00CD03D8">
        <w:rPr>
          <w:lang w:val="es-ES"/>
        </w:rPr>
        <w:t>el</w:t>
      </w:r>
      <w:r w:rsidRPr="00CD03D8">
        <w:rPr>
          <w:rStyle w:val="HideTWBExt"/>
          <w:lang w:val="es-ES"/>
        </w:rPr>
        <w:t>&lt;/Original&gt;</w:t>
      </w:r>
    </w:p>
    <w:p w:rsidR="002F2A46" w:rsidRPr="00CD03D8" w:rsidRDefault="002F2A46" w:rsidP="002F2A46">
      <w:pPr>
        <w:pStyle w:val="AMNumberTabs"/>
        <w:keepNext/>
        <w:rPr>
          <w:noProof/>
          <w:lang w:val="es-ES"/>
        </w:rPr>
      </w:pPr>
      <w:r w:rsidRPr="00CD03D8">
        <w:rPr>
          <w:rStyle w:val="HideTWBExt"/>
          <w:lang w:val="es-ES"/>
        </w:rPr>
        <w:t>&lt;/Amend&gt;</w:t>
      </w:r>
      <w:r w:rsidRPr="00CD03D8">
        <w:rPr>
          <w:rStyle w:val="HideTWBExt"/>
          <w:b w:val="0"/>
          <w:lang w:val="es-ES"/>
        </w:rPr>
        <w:t>&lt;Amend&gt;</w:t>
      </w:r>
      <w:r w:rsidRPr="00CD03D8">
        <w:rPr>
          <w:lang w:val="es-ES"/>
        </w:rPr>
        <w:t>Amendement</w:t>
      </w:r>
      <w:r w:rsidRPr="00CD03D8">
        <w:rPr>
          <w:lang w:val="es-ES"/>
        </w:rPr>
        <w:tab/>
      </w:r>
      <w:r w:rsidRPr="00CD03D8">
        <w:rPr>
          <w:lang w:val="es-ES"/>
        </w:rPr>
        <w:tab/>
      </w:r>
      <w:r w:rsidRPr="00CD03D8">
        <w:rPr>
          <w:rStyle w:val="HideTWBExt"/>
          <w:b w:val="0"/>
          <w:lang w:val="es-ES"/>
        </w:rPr>
        <w:t>&lt;NumAm&gt;</w:t>
      </w:r>
      <w:r w:rsidRPr="00CD03D8">
        <w:rPr>
          <w:lang w:val="es-ES"/>
        </w:rPr>
        <w:t>180</w:t>
      </w:r>
      <w:r w:rsidRPr="00CD03D8">
        <w:rPr>
          <w:rStyle w:val="HideTWBExt"/>
          <w:b w:val="0"/>
          <w:lang w:val="es-ES"/>
        </w:rPr>
        <w:t>&lt;/NumAm&gt;</w:t>
      </w:r>
    </w:p>
    <w:p w:rsidR="002F2A46" w:rsidRPr="00CD03D8" w:rsidRDefault="002F2A46" w:rsidP="002F2A46">
      <w:pPr>
        <w:pStyle w:val="NormalBold"/>
        <w:rPr>
          <w:noProof/>
          <w:lang w:val="es-ES"/>
        </w:rPr>
      </w:pPr>
      <w:r w:rsidRPr="00CD03D8">
        <w:rPr>
          <w:rStyle w:val="HideTWBExt"/>
          <w:b w:val="0"/>
          <w:lang w:val="es-ES"/>
        </w:rPr>
        <w:t>&lt;RepeatBlock-By&gt;&lt;Members&gt;</w:t>
      </w:r>
      <w:r w:rsidRPr="00CD03D8">
        <w:rPr>
          <w:lang w:val="es-ES"/>
        </w:rPr>
        <w:t>Nuno Melo</w:t>
      </w:r>
      <w:r w:rsidRPr="00CD03D8">
        <w:rPr>
          <w:rStyle w:val="HideTWBExt"/>
          <w:b w:val="0"/>
          <w:lang w:val="es-ES"/>
        </w:rPr>
        <w:t>&lt;/Members&gt;</w:t>
      </w:r>
    </w:p>
    <w:p w:rsidR="002F2A46" w:rsidRPr="00CD03D8" w:rsidRDefault="002F2A46" w:rsidP="002F2A46">
      <w:pPr>
        <w:rPr>
          <w:noProof/>
          <w:lang w:val="es-ES"/>
        </w:rPr>
      </w:pPr>
      <w:r w:rsidRPr="00CD03D8">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(25 bis)</w:t>
            </w:r>
            <w:r w:rsidRPr="00421CE3">
              <w:rPr>
                <w:b/>
                <w:i/>
              </w:rPr>
              <w:tab/>
              <w:t>Les États membres peuvent, sur demande, décider d’octroyer une ou plusieurs reconnaissances à une coopérative existante qui demande à être reconnue comme organisation de producteurs et remplit les obligations énoncées à l’article154, paragraphe 1, du règlement (UE) nº 1308/2013.</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181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Considérant 25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(25 bis)</w:t>
            </w:r>
            <w:r w:rsidRPr="00DE5BAE">
              <w:rPr>
                <w:b/>
                <w:i/>
              </w:rPr>
              <w:tab/>
              <w:t>Les États membres peuvent, sur demande, décider de reconnaître une coopérative existante qui demande la reconnaissance de l'organisation de producteurs et qui satisfait aux exigences de l'article 154, paragraphe 1, du règlement (UE) 1308/2013.</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noProof/>
          <w:lang w:val="en-GB"/>
        </w:rPr>
      </w:pPr>
      <w:r w:rsidRPr="00CD03D8">
        <w:rPr>
          <w:rStyle w:val="HideTWBExt"/>
          <w:b w:val="0"/>
          <w:lang w:val="en-GB"/>
        </w:rPr>
        <w:t>&lt;Amend&gt;</w:t>
      </w:r>
      <w:r w:rsidRPr="00CD03D8">
        <w:rPr>
          <w:lang w:val="en-GB"/>
        </w:rPr>
        <w:t>Amendement</w:t>
      </w:r>
      <w:r w:rsidRPr="00CD03D8">
        <w:rPr>
          <w:lang w:val="en-GB"/>
        </w:rPr>
        <w:tab/>
      </w:r>
      <w:r w:rsidRPr="00CD03D8">
        <w:rPr>
          <w:lang w:val="en-GB"/>
        </w:rPr>
        <w:tab/>
      </w:r>
      <w:r w:rsidRPr="00CD03D8">
        <w:rPr>
          <w:rStyle w:val="HideTWBExt"/>
          <w:b w:val="0"/>
          <w:lang w:val="en-GB"/>
        </w:rPr>
        <w:t>&lt;NumAm&gt;</w:t>
      </w:r>
      <w:r w:rsidRPr="00CD03D8">
        <w:rPr>
          <w:lang w:val="en-GB"/>
        </w:rPr>
        <w:t>182</w:t>
      </w:r>
      <w:r w:rsidRPr="00CD03D8">
        <w:rPr>
          <w:rStyle w:val="HideTWBExt"/>
          <w:b w:val="0"/>
          <w:lang w:val="en-GB"/>
        </w:rPr>
        <w:t>&lt;/NumAm&gt;</w:t>
      </w:r>
    </w:p>
    <w:p w:rsidR="002F2A46" w:rsidRPr="00CD03D8" w:rsidRDefault="002F2A46" w:rsidP="002F2A46">
      <w:pPr>
        <w:pStyle w:val="NormalBold"/>
        <w:rPr>
          <w:noProof/>
          <w:lang w:val="en-GB"/>
        </w:rPr>
      </w:pPr>
      <w:r w:rsidRPr="00CD03D8">
        <w:rPr>
          <w:rStyle w:val="HideTWBExt"/>
          <w:b w:val="0"/>
          <w:lang w:val="en-GB"/>
        </w:rPr>
        <w:t>&lt;RepeatBlock-By&gt;&lt;Members&gt;</w:t>
      </w:r>
      <w:r w:rsidRPr="00CD03D8">
        <w:rPr>
          <w:lang w:val="en-GB"/>
        </w:rPr>
        <w:t>Thomas Waitz, Maria Heubuch</w:t>
      </w:r>
      <w:r w:rsidRPr="00CD03D8">
        <w:rPr>
          <w:rStyle w:val="HideTWBExt"/>
          <w:b w:val="0"/>
          <w:lang w:val="en-GB"/>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27</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(27)</w:t>
            </w:r>
            <w:r w:rsidRPr="00421CE3">
              <w:tab/>
              <w:t>En ce qui concerne les crédits à l’exportation, les garanties de crédit à l’exportation et les programmes d’assurance, les entreprises commerciales d’État exportatrices de produits agricoles et l’aide alimentaire internationale, les États membres peuvent adopter des mesures nationales respectant le droit de l’Union. L’Union et ses États membres étant membres de l’OMC, lesdites mesures nationales devraient également respecter les règles énoncées dans la décision ministérielle de l’OMC du 19 décembre 2015, au regard du droit de l’Union et du droit international.</w:t>
            </w:r>
          </w:p>
        </w:tc>
        <w:tc>
          <w:tcPr>
            <w:tcW w:w="4876" w:type="dxa"/>
            <w:hideMark/>
          </w:tcPr>
          <w:p w:rsidR="002F2A46" w:rsidRPr="00421CE3" w:rsidRDefault="002F2A46" w:rsidP="003A3553">
            <w:pPr>
              <w:pStyle w:val="Normal6"/>
              <w:rPr>
                <w:noProof/>
                <w:szCs w:val="24"/>
              </w:rPr>
            </w:pPr>
            <w:r w:rsidRPr="00421CE3">
              <w:t>(27)</w:t>
            </w:r>
            <w:r w:rsidRPr="00421CE3">
              <w:tab/>
              <w:t>En ce qui concerne les crédits à l’exportation, les garanties de crédit à l’exportation et les programmes d’assurance, les entreprises commerciales d’État exportatrices de produits agricoles et l’aide alimentaire internationale, les États membres peuvent adopter des mesures nationales respectant le droit de l’Union</w:t>
            </w:r>
            <w:r w:rsidRPr="00421CE3">
              <w:rPr>
                <w:b/>
                <w:i/>
              </w:rPr>
              <w:t>, y compris le principe de cohérence des politiques au service du développement visé à l’article 208 du traité FUE et le programme de développement durable à l’horizon 2030</w:t>
            </w:r>
            <w:r w:rsidRPr="00421CE3">
              <w:t>. L’Union et ses États membres étant membres de l’OMC, lesdites mesures nationales devraient également respecter les règles énoncées dans la décision ministérielle de l’OMC du 19 décembre 2015, au regard du droit de l’Union et du droit international.</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La cohérence des politiques au service du développement oblige à tenir compte des objectifs de la coopération au développement dans les politiques susceptibles d’avoir une incidence sur les pays en développement. La politique agricole de l’Union a un impact externe du fait, en particulier, de l'influence qu’elle exerce sur les échanges agricoles. Les entreprises commerciales d’État exportatrices de produits agricoles et l’aide alimentaire internationale ont des répercussions directes sur les conditions qui règnent sur le marché international. Par conséquent, les répercussions de ces changements sur les marchés agricoles en développement doivent être prises en considération.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183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27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(27 bis)</w:t>
            </w:r>
            <w:r w:rsidRPr="00A53FF9">
              <w:rPr>
                <w:b/>
                <w:i/>
              </w:rPr>
              <w:tab/>
              <w:t>Afin d'atteindre l'objectif de participation à la stabilité des marchés agricoles, il convient de renforcer les outils pourvoyant à la transparence des marchés agricoles. L'expérience des différents observatoires européens sectoriels des marchés agricoles s'étant avérée positive afin d'éclairer les choix des opérateurs économiques et de l'ensemble des pouvoirs publics et de faciliter la constatation et l'enregistrement des développements de marché, il convient de créer un observatoire européen des marchés des produits agricoles et de mettre en place un système de de notification des informations nécessaires au travail de l'Observatoire.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la proposition de nouvel article 218bis qui vise à introduire dans le règlement OCM unique un observatoire des marchés des produits agricoles en se fondant sur le travail des différents observatoires sectoriels et à mettre en place un système de notification des informations nécessaires au travail de l'Observatoire.</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184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27 ter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(27 ter)</w:t>
            </w:r>
            <w:r w:rsidRPr="00A53FF9">
              <w:rPr>
                <w:b/>
                <w:i/>
              </w:rPr>
              <w:tab/>
              <w:t>Afin d'éclairer les choix de l'ensemble des pouvoirs publics européens et renforcer l'efficacité des mesures de prévention et de gestion des perturbations de marchés, il convient de prévoir un mécanisme d'alerte précoce via lequel l'Observatoire européen des marchés agricoles notifierait à la Commission européenne, le Parlement européen et le Conseil les menaces de perturbation de marchés et ferait, le cas échéant, une recommandation des mesures à adopter. La Commission, seule détentrice du pouvoir d'initiative dans ce domaine, disposerait de trente jours pour présenter au Parlement européen et au Conseil les mesures adéquates pour faire face à ces perturbations de marché ou en justifier l'absence.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à lire en lien avec la proposition de créer un nouvel article 218 ter visant à la mise en place d'un mécanisme d'alerte précoce visant à alerter la Commission, le Parlement européen et le Conseil des menaces de perturbation de marchés et appelant la Commission européenne à proposer des mesures ou en justifier l'absence dans les trente jours qui suivent la notification devant le Parlement européen et le Conseil.</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185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Martin Häusling</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28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(28 bis)</w:t>
            </w:r>
            <w:r w:rsidRPr="00421CE3">
              <w:rPr>
                <w:b/>
                <w:i/>
              </w:rPr>
              <w:tab/>
              <w:t>Dans son rapport de mars 2017 concernant la mention obligatoire de la liste des ingrédients et de la déclaration nutritionnelle sur l’étiquetage des boissons alcoolisées, la Commission a indiqué n’avoir relevé aucun motif objectif justifiant l’absence d’informations relatives aux ingrédients et d’informations nutritionnelles sur les boissons alcoolisées et a invité le secteur à présenter, dans l’année suivant l’adoption de ce rapport, une proposition d’autoréglementation visant à fournir des informations sur les ingrédients et les valeurs nutritionnelles de toutes les boissons alcoolisées. Afin d’assurer un niveau élevé de protection des consommateurs, l’approche d’autoréglementation devrait veiller à ce qu’au moins les informations relatives aux ingrédients et les informations nutritionnelles soient mentionnées sur les étiquettes et que ces informations respectent les exigences applicables aux informations facultatives sur les denrées alimentaires telles qu’établies par le règlement (UE) nº 1169/2011. Il convient maintenant que la Commission évalue les propositions du secteur et publie un rapport, assorti d’une proposition législative, qui comprenne les exemptions qui se justifient pour les microproducteurs.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En matière d’étiquetage des boissons alcoolisées, il est nécessaire de mettre en place une approche cohérente, qui englobe tous les secteurs et apporte aux consommateurs des informations comparables au moyen d’une liste des ingrédients et d’une déclaration nutritionnelle.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186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29</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(29)</w:t>
            </w:r>
            <w:r w:rsidRPr="00A53FF9">
              <w:tab/>
              <w:t>Compte tenu de l’abrogation du règlement (UE) n° 1306/2013 du Parlement européen et du Conseil</w:t>
            </w:r>
            <w:r w:rsidRPr="00A53FF9">
              <w:rPr>
                <w:vertAlign w:val="superscript"/>
              </w:rPr>
              <w:t>17</w:t>
            </w:r>
            <w:r w:rsidRPr="00A53FF9">
              <w:t xml:space="preserve"> par le règlement (UE) .../... [règlement </w:t>
            </w:r>
            <w:r w:rsidRPr="00A53FF9">
              <w:rPr>
                <w:b/>
                <w:i/>
              </w:rPr>
              <w:t>relatif aux plans stratégiques relevant de la PAC</w:t>
            </w:r>
            <w:r w:rsidRPr="00A53FF9">
              <w:t>], les dispositions concernant les contrôles et sanctions relatifs aux normes de commercialisation et aux appellations d’origine, indications géographiques et mentions traditionnelles protégées devraient être intégrées dans le règlement (UE) n° 1308/2013.</w:t>
            </w:r>
          </w:p>
        </w:tc>
        <w:tc>
          <w:tcPr>
            <w:tcW w:w="4876" w:type="dxa"/>
            <w:hideMark/>
          </w:tcPr>
          <w:p w:rsidR="002F2A46" w:rsidRPr="00A53FF9" w:rsidRDefault="002F2A46" w:rsidP="003A3553">
            <w:pPr>
              <w:pStyle w:val="Normal6"/>
              <w:rPr>
                <w:szCs w:val="24"/>
              </w:rPr>
            </w:pPr>
            <w:r w:rsidRPr="00A53FF9">
              <w:t>(29)</w:t>
            </w:r>
            <w:r w:rsidRPr="00A53FF9">
              <w:tab/>
              <w:t>Compte tenu de l’abrogation du règlement (UE) n° 1306/2013 du Parlement européen et du Conseil</w:t>
            </w:r>
            <w:r w:rsidRPr="00A53FF9">
              <w:rPr>
                <w:vertAlign w:val="superscript"/>
              </w:rPr>
              <w:t>17</w:t>
            </w:r>
            <w:r w:rsidRPr="00A53FF9">
              <w:t xml:space="preserve"> par le règlement (UE) .../... [règlement </w:t>
            </w:r>
            <w:r w:rsidRPr="00A53FF9">
              <w:rPr>
                <w:b/>
                <w:i/>
              </w:rPr>
              <w:t>horizontal</w:t>
            </w:r>
            <w:r w:rsidRPr="00A53FF9">
              <w:t xml:space="preserve">], les dispositions concernant les contrôles et sanctions relatifs aux normes de commercialisation et aux appellations d’origine, indications géographiques et mentions traditionnelles protégées devraient être intégrées dans le règlement (UE) n° 1308/2013 </w:t>
            </w:r>
            <w:r w:rsidRPr="00A53FF9">
              <w:rPr>
                <w:b/>
                <w:i/>
              </w:rPr>
              <w:t>tout en les précisant dans un souci d'efficience que ces contrôles peuvent consister en des contrôles documentaires et des contrôles sur place qui ne seraient nécessaire que lorsque le cahier des charges prévoit des exigences qui ne peuvent pas être contrôlées de manière sécurisée par un contrôle documentaire</w:t>
            </w:r>
            <w:r w:rsidRPr="00A53FF9">
              <w:t>.</w:t>
            </w:r>
          </w:p>
        </w:tc>
      </w:tr>
      <w:tr w:rsidR="002F2A46" w:rsidRPr="00A53FF9" w:rsidTr="003A3553">
        <w:trPr>
          <w:jc w:val="center"/>
        </w:trPr>
        <w:tc>
          <w:tcPr>
            <w:tcW w:w="4876" w:type="dxa"/>
            <w:hideMark/>
          </w:tcPr>
          <w:p w:rsidR="002F2A46" w:rsidRPr="00A53FF9" w:rsidRDefault="002F2A46" w:rsidP="003A3553">
            <w:pPr>
              <w:pStyle w:val="Normal6"/>
            </w:pPr>
            <w:r w:rsidRPr="00A53FF9">
              <w:t>__________________</w:t>
            </w:r>
          </w:p>
        </w:tc>
        <w:tc>
          <w:tcPr>
            <w:tcW w:w="4876" w:type="dxa"/>
            <w:hideMark/>
          </w:tcPr>
          <w:p w:rsidR="002F2A46" w:rsidRPr="00A53FF9" w:rsidRDefault="002F2A46" w:rsidP="003A3553">
            <w:pPr>
              <w:pStyle w:val="Normal6"/>
              <w:rPr>
                <w:szCs w:val="24"/>
              </w:rPr>
            </w:pPr>
            <w:r w:rsidRPr="00A53FF9">
              <w:t>__________________</w:t>
            </w:r>
          </w:p>
        </w:tc>
      </w:tr>
      <w:tr w:rsidR="002F2A46" w:rsidRPr="00A53FF9" w:rsidTr="003A3553">
        <w:trPr>
          <w:jc w:val="center"/>
        </w:trPr>
        <w:tc>
          <w:tcPr>
            <w:tcW w:w="4876" w:type="dxa"/>
            <w:hideMark/>
          </w:tcPr>
          <w:p w:rsidR="002F2A46" w:rsidRPr="00A53FF9" w:rsidRDefault="002F2A46" w:rsidP="003A3553">
            <w:pPr>
              <w:pStyle w:val="Normal6"/>
            </w:pPr>
            <w:r w:rsidRPr="00A53FF9">
              <w:rPr>
                <w:vertAlign w:val="superscript"/>
              </w:rPr>
              <w:t>17</w:t>
            </w:r>
            <w:r w:rsidRPr="00A53FF9">
              <w:t xml:space="preserve"> Règlement (UE) n° 1306/2013 du Parlement européen et du Conseil du 17 décembre 2013 relatif au financement, à la gestion et au suivi de la politique agricole commune et abrogeant les règlements (CEE) n° 352/78, (CE) n° 165/94, (CE) n° 2799/98, (CE) n° 814/2000, (CE) n° 1290/2005 et (CE) n° 485/2008 du Conseil (JO L 347 du 20.12.2013, p. 549).</w:t>
            </w:r>
          </w:p>
        </w:tc>
        <w:tc>
          <w:tcPr>
            <w:tcW w:w="4876" w:type="dxa"/>
            <w:hideMark/>
          </w:tcPr>
          <w:p w:rsidR="002F2A46" w:rsidRPr="00A53FF9" w:rsidRDefault="002F2A46" w:rsidP="003A3553">
            <w:pPr>
              <w:pStyle w:val="Normal6"/>
              <w:rPr>
                <w:szCs w:val="24"/>
              </w:rPr>
            </w:pPr>
            <w:r w:rsidRPr="00A53FF9">
              <w:rPr>
                <w:vertAlign w:val="superscript"/>
              </w:rPr>
              <w:t>17</w:t>
            </w:r>
            <w:r w:rsidRPr="00A53FF9">
              <w:t xml:space="preserve"> Règlement (UE) n° 1306/2013 du Parlement européen et du Conseil du 17 décembre 2013 relatif au financement, à la gestion et au suivi de la politique agricole commune et abrogeant les règlements (CEE) n° 352/78, (CE) n° 165/94, (CE) n° 2799/98, (CE) n° 814/2000, (CE) n° 1290/2005 et (CE) n° 485/2008 du Conseil (JO L 347 du 20.12.2013, p. 549).</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purement technique visant à corriger une erreur de rédaction de la Commission et préciser en lien avec le nouveau paragraphe 3bis proposé dans le cadre de l'article 116bis de préciser dans un souci d'efficience que ces contrôles consistent en des contrôles documentaires et des contrôles sur place et que le contrôle sur place n'est nécessaire que lorsque le cahier des charges prévoit des exigences qui ne peuvent pas être contrôlées de manière sécurisée par un contrôle documentaire.</w:t>
      </w:r>
    </w:p>
    <w:p w:rsidR="002F2A46" w:rsidRPr="00A53FF9" w:rsidRDefault="002F2A46" w:rsidP="002F2A46">
      <w:r w:rsidRPr="00A53FF9">
        <w:rPr>
          <w:rStyle w:val="HideTWBExt"/>
        </w:rPr>
        <w:t>&lt;/Amend&gt;</w:t>
      </w:r>
    </w:p>
    <w:p w:rsidR="002F2A46" w:rsidRPr="006F1CCE" w:rsidRDefault="002F2A46" w:rsidP="002F2A46">
      <w:pPr>
        <w:pStyle w:val="AMNumberTabs"/>
        <w:keepNext/>
        <w:rPr>
          <w:noProof/>
          <w:lang w:val="pt-PT"/>
        </w:rPr>
      </w:pPr>
      <w:r w:rsidRPr="006F1CCE">
        <w:rPr>
          <w:rStyle w:val="HideTWBExt"/>
          <w:b w:val="0"/>
          <w:lang w:val="pt-PT"/>
        </w:rPr>
        <w:t>&lt;Amend&gt;</w:t>
      </w:r>
      <w:r w:rsidRPr="006F1CCE">
        <w:rPr>
          <w:lang w:val="pt-PT"/>
        </w:rPr>
        <w:t>Amendement</w:t>
      </w:r>
      <w:r w:rsidRPr="006F1CCE">
        <w:rPr>
          <w:lang w:val="pt-PT"/>
        </w:rPr>
        <w:tab/>
      </w:r>
      <w:r w:rsidRPr="006F1CCE">
        <w:rPr>
          <w:lang w:val="pt-PT"/>
        </w:rPr>
        <w:tab/>
      </w:r>
      <w:r w:rsidRPr="006F1CCE">
        <w:rPr>
          <w:rStyle w:val="HideTWBExt"/>
          <w:b w:val="0"/>
          <w:lang w:val="pt-PT"/>
        </w:rPr>
        <w:t>&lt;NumAm&gt;</w:t>
      </w:r>
      <w:r w:rsidRPr="006F1CCE">
        <w:rPr>
          <w:lang w:val="pt-PT"/>
        </w:rPr>
        <w:t>187</w:t>
      </w:r>
      <w:r w:rsidRPr="006F1CCE">
        <w:rPr>
          <w:rStyle w:val="HideTWBExt"/>
          <w:b w:val="0"/>
          <w:lang w:val="pt-PT"/>
        </w:rPr>
        <w:t>&lt;/NumAm&gt;</w:t>
      </w:r>
    </w:p>
    <w:p w:rsidR="002F2A46" w:rsidRPr="006F1CCE" w:rsidRDefault="002F2A46" w:rsidP="002F2A46">
      <w:pPr>
        <w:pStyle w:val="NormalBold"/>
        <w:rPr>
          <w:noProof/>
          <w:lang w:val="pt-PT"/>
        </w:rPr>
      </w:pPr>
      <w:r w:rsidRPr="006F1CCE">
        <w:rPr>
          <w:rStyle w:val="HideTWBExt"/>
          <w:b w:val="0"/>
          <w:lang w:val="pt-PT"/>
        </w:rPr>
        <w:t>&lt;RepeatBlock-By&gt;&lt;Members&gt;</w:t>
      </w:r>
      <w:r w:rsidRPr="006F1CCE">
        <w:rPr>
          <w:lang w:val="pt-PT"/>
        </w:rPr>
        <w:t>Maria Lidia Senra Rodríguez</w:t>
      </w:r>
      <w:r w:rsidRPr="006F1CCE">
        <w:rPr>
          <w:rStyle w:val="HideTWBExt"/>
          <w:b w:val="0"/>
          <w:lang w:val="pt-PT"/>
        </w:rPr>
        <w:t>&lt;/Members&gt;</w:t>
      </w:r>
    </w:p>
    <w:p w:rsidR="002F2A46" w:rsidRPr="006F1CCE" w:rsidRDefault="002F2A46" w:rsidP="002F2A46">
      <w:pPr>
        <w:rPr>
          <w:noProof/>
          <w:lang w:val="pt-PT"/>
        </w:rPr>
      </w:pPr>
      <w:r w:rsidRPr="006F1CCE">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Considérant 30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(30 bis)</w:t>
            </w:r>
            <w:r w:rsidRPr="00094D6B">
              <w:rPr>
                <w:b/>
                <w:i/>
              </w:rPr>
              <w:tab/>
              <w:t>Les prix agricoles dans l’Union européenne ont chuté ces dernières années tandis que la concentration des entreprises agroalimentaires augmente et que les organisations de producteurs peinent à influer de manière significative dans les négociations relatives aux prix. L’expérience a montré que ces organisations sont l’instrument dont se dotent les institutions européennes pour appliquer leurs politiques de déréglementation de la production et des marchés. Il est nécessaire d’établir des mécanismes publics de contrôle de la production ainsi que des prix plancher.</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188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30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(30 bis)</w:t>
            </w:r>
            <w:r w:rsidRPr="00A53FF9">
              <w:rPr>
                <w:b/>
                <w:i/>
              </w:rPr>
              <w:tab/>
              <w:t>Afin de continuer d'accompagner le secteur du sucre dans son développement et sa transition suite à la fin du régime des quotas, il convient de préciser que les notifications des prix de marchés couvrent également l'éthanol, autoriser le recours aux mécanismes de conciliation our de médiation comme alternative à l'arbitrage et codifier dans le présent règlement la clause de partage de la valeur.</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doit être lu en lien avec les modification introduites à l'article 126 et à l'annexe X.</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189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 Michel Dantin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31</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(31)</w:t>
            </w:r>
            <w:r w:rsidRPr="00421CE3">
              <w:tab/>
              <w:t>Compte tenu du nombre limité d’enregistrements d’indications géographiques de vins aromatisés relevant du règlement (UE) n° 251/2014 du Parlement européen et du Conseil</w:t>
            </w:r>
            <w:r w:rsidRPr="00421CE3">
              <w:rPr>
                <w:vertAlign w:val="superscript"/>
              </w:rPr>
              <w:t>19</w:t>
            </w:r>
            <w:r w:rsidRPr="00421CE3">
              <w:t xml:space="preserve">, il convient de simplifier le cadre juridique de la protection des indications géographiques de ces produits. </w:t>
            </w:r>
            <w:r w:rsidRPr="00421CE3">
              <w:rPr>
                <w:b/>
                <w:i/>
              </w:rPr>
              <w:t>Les vins aromatisés et autres boissons alcooliques, à l’exception des spiritueux et des produits de la vigne énumérés à l’annexe VII, partie II, du règlement (UE) n° 1308/2013, devraient être soumis au même régime juridique et aux mêmes procédures que les autres produits agricoles et denrées alimentaires. Il est dès lors nécessaire d’étendre le champ d’application du règlement (UE) n° 1151/2012 à ces produits. Le règlement (UE) n° 251/2014 du Parlement européen et du Conseil devrait être modifié afin de tenir compte de cette modification en ce qui concerne son intitulé, son champ d’application, ses définitions et ses dispositions relatives à l’étiquetage des produits vinicoles aromatisés. Il y a lieu d’assurer une transition sans heurts pour les dénominations protégées en vertu du règlement (UE) n° 251/2014.</w:t>
            </w:r>
          </w:p>
        </w:tc>
        <w:tc>
          <w:tcPr>
            <w:tcW w:w="4876" w:type="dxa"/>
            <w:hideMark/>
          </w:tcPr>
          <w:p w:rsidR="002F2A46" w:rsidRPr="00421CE3" w:rsidRDefault="002F2A46" w:rsidP="003A3553">
            <w:pPr>
              <w:pStyle w:val="Normal6"/>
              <w:rPr>
                <w:noProof/>
                <w:szCs w:val="24"/>
              </w:rPr>
            </w:pPr>
            <w:r w:rsidRPr="00421CE3">
              <w:t>(31)</w:t>
            </w:r>
            <w:r w:rsidRPr="00421CE3">
              <w:tab/>
              <w:t>Compte tenu du nombre limité d’enregistrements d’indications géographiques de vins aromatisés relevant du règlement (UE) n° 251/2014 du Parlement européen et du Conseil</w:t>
            </w:r>
            <w:r w:rsidRPr="00421CE3">
              <w:rPr>
                <w:vertAlign w:val="superscript"/>
              </w:rPr>
              <w:t>19</w:t>
            </w:r>
            <w:r w:rsidRPr="00421CE3">
              <w:t>, il convient de simplifier le cadre juridique de la protection des indications géographiques de ces produits.</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__________________</w:t>
            </w:r>
          </w:p>
        </w:tc>
        <w:tc>
          <w:tcPr>
            <w:tcW w:w="4876" w:type="dxa"/>
            <w:hideMark/>
          </w:tcPr>
          <w:p w:rsidR="002F2A46" w:rsidRPr="00421CE3" w:rsidRDefault="002F2A46" w:rsidP="003A3553">
            <w:pPr>
              <w:pStyle w:val="Normal6"/>
              <w:rPr>
                <w:noProof/>
                <w:szCs w:val="24"/>
              </w:rPr>
            </w:pPr>
            <w:r w:rsidRPr="00421CE3">
              <w:t>__________________</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vertAlign w:val="superscript"/>
              </w:rPr>
              <w:t>19</w:t>
            </w:r>
            <w:r w:rsidRPr="00421CE3">
              <w:t xml:space="preserve"> 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tc>
        <w:tc>
          <w:tcPr>
            <w:tcW w:w="4876" w:type="dxa"/>
            <w:hideMark/>
          </w:tcPr>
          <w:p w:rsidR="002F2A46" w:rsidRPr="00421CE3" w:rsidRDefault="002F2A46" w:rsidP="003A3553">
            <w:pPr>
              <w:pStyle w:val="Normal6"/>
              <w:rPr>
                <w:noProof/>
                <w:szCs w:val="24"/>
              </w:rPr>
            </w:pPr>
            <w:r w:rsidRPr="00421CE3">
              <w:rPr>
                <w:vertAlign w:val="superscript"/>
              </w:rPr>
              <w:t>19</w:t>
            </w:r>
            <w:r w:rsidRPr="00421CE3">
              <w:t xml:space="preserve"> Règlement (UE) nº 251/2014 du Parlement européen et du Conseil du 26 février 2014 concernant la définition, la description, la présentation, l’étiquetage et la protection des indications géographiques des produits vinicoles aromatisés et abrogeant le règlement (CEE) nº 1601/91 du Conseil (JO L 84 du 20.3.2014, p. 14).</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peux apporter mon soutien à l’ajout des vins désalcoolisés et aromatisés dans la législation relative à l’OCM unique.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190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31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(31 bis)</w:t>
            </w:r>
            <w:r w:rsidRPr="00421CE3">
              <w:rPr>
                <w:b/>
                <w:i/>
              </w:rPr>
              <w:tab/>
              <w:t xml:space="preserve">Afin d’assurer un niveau élevé de protection des consommateurs, l’approche d’autoréglementation devrait veiller à ce qu’au moins les informations relatives aux ingrédients soient mentionnées sur les étiquettes ou en ligne et que ces informations respectent les exigences applicables aux informations facultatives sur les denrées alimentaires telles qu’établies par le règlement (UE) nº 1169/2011. Il convient que la Commission évalue les propositions du secteur et publie un rapport, assorti d’une proposition législative, qui comprenne les exemptions qui se justifient pour les microproducteurs. </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84500F">
        <w:t>Amendement</w:t>
      </w:r>
      <w:r w:rsidRPr="0084500F">
        <w:tab/>
      </w:r>
      <w:r w:rsidRPr="0084500F">
        <w:tab/>
      </w:r>
      <w:r>
        <w:rPr>
          <w:rStyle w:val="HideTWBExt"/>
          <w:b w:val="0"/>
        </w:rPr>
        <w:t>&lt;NumAm&gt;</w:t>
      </w:r>
      <w:r w:rsidRPr="0084500F">
        <w:t>191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84500F">
        <w:t>Momchil Nekov</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84500F">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84500F">
        <w:t>Considérant 32</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84500F" w:rsidRDefault="002F2A46" w:rsidP="003A3553">
            <w:pPr>
              <w:pStyle w:val="ColumnHeading"/>
              <w:keepNext/>
              <w:rPr>
                <w:noProof/>
              </w:rPr>
            </w:pPr>
            <w:r w:rsidRPr="0084500F">
              <w:t>Texte proposé par la Commission</w:t>
            </w:r>
          </w:p>
        </w:tc>
        <w:tc>
          <w:tcPr>
            <w:tcW w:w="4876" w:type="dxa"/>
            <w:hideMark/>
          </w:tcPr>
          <w:p w:rsidR="002F2A46" w:rsidRPr="0084500F" w:rsidRDefault="002F2A46" w:rsidP="003A3553">
            <w:pPr>
              <w:pStyle w:val="ColumnHeading"/>
              <w:keepNext/>
              <w:rPr>
                <w:noProof/>
              </w:rPr>
            </w:pPr>
            <w:r w:rsidRPr="0084500F">
              <w:t>Amendement</w:t>
            </w:r>
          </w:p>
        </w:tc>
      </w:tr>
      <w:tr w:rsidR="002F2A46" w:rsidRPr="00A53FF9" w:rsidTr="003A3553">
        <w:trPr>
          <w:jc w:val="center"/>
        </w:trPr>
        <w:tc>
          <w:tcPr>
            <w:tcW w:w="4876" w:type="dxa"/>
            <w:hideMark/>
          </w:tcPr>
          <w:p w:rsidR="002F2A46" w:rsidRPr="0084500F" w:rsidRDefault="002F2A46" w:rsidP="003A3553">
            <w:pPr>
              <w:pStyle w:val="Normal6"/>
              <w:rPr>
                <w:noProof/>
              </w:rPr>
            </w:pPr>
            <w:r w:rsidRPr="0084500F">
              <w:t>(32)</w:t>
            </w:r>
            <w:r w:rsidRPr="0084500F">
              <w:tab/>
              <w:t>Il convient de rationaliser et de simplifier les procédures relatives à l’enregistrement des appellations d’origine protégées, des indications géographiques protégées et des spécialités traditionnelles définies dans le règlement (UE) n° 1151/2012, afin que les nouvelles dénominations puissent être enregistrées dans des délais plus courts. La procédure d’opposition devrait être simplifiée.</w:t>
            </w:r>
          </w:p>
        </w:tc>
        <w:tc>
          <w:tcPr>
            <w:tcW w:w="4876" w:type="dxa"/>
            <w:hideMark/>
          </w:tcPr>
          <w:p w:rsidR="002F2A46" w:rsidRPr="0084500F" w:rsidRDefault="002F2A46" w:rsidP="003A3553">
            <w:pPr>
              <w:pStyle w:val="Normal6"/>
              <w:rPr>
                <w:noProof/>
                <w:szCs w:val="24"/>
              </w:rPr>
            </w:pPr>
            <w:r w:rsidRPr="0084500F">
              <w:t>(32)</w:t>
            </w:r>
            <w:r w:rsidRPr="0084500F">
              <w:tab/>
              <w:t xml:space="preserve">Il convient de rationaliser et de simplifier les procédures relatives à l’enregistrement des appellations d’origine protégées, des indications géographiques protégées et des spécialités traditionnelles définies dans le règlement (UE) n° 1151/2012, afin que les nouvelles dénominations puissent être enregistrées dans des délais plus courts. </w:t>
            </w:r>
            <w:r w:rsidRPr="0084500F">
              <w:rPr>
                <w:b/>
                <w:i/>
              </w:rPr>
              <w:t>Il convient également de tenir compte des tendances socio-politiques particulières constatées notamment dans les États membres ayant adhéré à l’Union européenne depuis 2004, qui empêchent la recherche et l’identification de références historiques lors de la conception du cahier des charges, ce qui complique la mise en œuvre des systèmes dans ces pays et les rend donc moins attrayants.</w:t>
            </w:r>
            <w:r w:rsidRPr="0084500F">
              <w:t xml:space="preserve"> La procédure d’opposition devrait être simplifiée.</w:t>
            </w:r>
          </w:p>
        </w:tc>
      </w:tr>
    </w:tbl>
    <w:p w:rsidR="002F2A46" w:rsidRPr="00A53FF9" w:rsidRDefault="002F2A46" w:rsidP="002F2A46">
      <w:pPr>
        <w:pStyle w:val="Olang"/>
        <w:rPr>
          <w:szCs w:val="24"/>
        </w:rPr>
      </w:pPr>
      <w:r w:rsidRPr="0084500F">
        <w:t xml:space="preserve">Or. </w:t>
      </w:r>
      <w:r w:rsidRPr="00B1615C">
        <w:rPr>
          <w:rStyle w:val="HideTWBExt"/>
        </w:rPr>
        <w:t>&lt;Original&gt;</w:t>
      </w:r>
      <w:r w:rsidRPr="00B1615C">
        <w:rPr>
          <w:rStyle w:val="HideTWBInt"/>
        </w:rPr>
        <w:t>{BG}</w:t>
      </w:r>
      <w:r w:rsidRPr="0084500F">
        <w:t>bg</w:t>
      </w:r>
      <w:r w:rsidRPr="00B1615C">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84500F">
        <w:t>Amendement</w:t>
      </w:r>
      <w:r w:rsidRPr="0084500F">
        <w:tab/>
      </w:r>
      <w:r w:rsidRPr="0084500F">
        <w:tab/>
      </w:r>
      <w:r>
        <w:rPr>
          <w:rStyle w:val="HideTWBExt"/>
          <w:b w:val="0"/>
        </w:rPr>
        <w:t>&lt;NumAm&gt;</w:t>
      </w:r>
      <w:r w:rsidRPr="0084500F">
        <w:t>192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84500F">
        <w:t>Momchil Nekov</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84500F">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84500F">
        <w:t>Considérant 33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84500F" w:rsidRDefault="002F2A46" w:rsidP="003A3553">
            <w:pPr>
              <w:pStyle w:val="ColumnHeading"/>
              <w:keepNext/>
              <w:rPr>
                <w:noProof/>
              </w:rPr>
            </w:pPr>
            <w:r w:rsidRPr="0084500F">
              <w:t>Texte proposé par la Commission</w:t>
            </w:r>
          </w:p>
        </w:tc>
        <w:tc>
          <w:tcPr>
            <w:tcW w:w="4876" w:type="dxa"/>
            <w:hideMark/>
          </w:tcPr>
          <w:p w:rsidR="002F2A46" w:rsidRPr="0084500F" w:rsidRDefault="002F2A46" w:rsidP="003A3553">
            <w:pPr>
              <w:pStyle w:val="ColumnHeading"/>
              <w:keepNext/>
              <w:rPr>
                <w:noProof/>
              </w:rPr>
            </w:pPr>
            <w:r w:rsidRPr="0084500F">
              <w:t>Amendement</w:t>
            </w:r>
          </w:p>
        </w:tc>
      </w:tr>
      <w:tr w:rsidR="002F2A46" w:rsidRPr="00A53FF9" w:rsidTr="003A3553">
        <w:trPr>
          <w:jc w:val="center"/>
        </w:trPr>
        <w:tc>
          <w:tcPr>
            <w:tcW w:w="4876" w:type="dxa"/>
          </w:tcPr>
          <w:p w:rsidR="002F2A46" w:rsidRPr="0084500F" w:rsidRDefault="002F2A46" w:rsidP="003A3553">
            <w:pPr>
              <w:pStyle w:val="Normal6"/>
              <w:rPr>
                <w:noProof/>
              </w:rPr>
            </w:pPr>
          </w:p>
        </w:tc>
        <w:tc>
          <w:tcPr>
            <w:tcW w:w="4876" w:type="dxa"/>
            <w:hideMark/>
          </w:tcPr>
          <w:p w:rsidR="002F2A46" w:rsidRPr="0084500F" w:rsidRDefault="002F2A46" w:rsidP="003A3553">
            <w:pPr>
              <w:pStyle w:val="Normal6"/>
              <w:rPr>
                <w:noProof/>
                <w:szCs w:val="24"/>
              </w:rPr>
            </w:pPr>
            <w:r w:rsidRPr="0084500F">
              <w:rPr>
                <w:b/>
                <w:i/>
              </w:rPr>
              <w:t>(33 bis)</w:t>
            </w:r>
            <w:r w:rsidRPr="0084500F">
              <w:rPr>
                <w:b/>
                <w:i/>
              </w:rPr>
              <w:tab/>
              <w:t>Des mécanismes juridiques devraient être mis en place pour garantir que les produits portant la mention de qualité facultative «produit de montagne» ne puissent être commercialisés sur le marché d’un autre pays qu’à condition qu’ils n’enfreignent pas, le cas échéant, les règles d’utilisation de cette mention de qualité dans ce pays.</w:t>
            </w:r>
          </w:p>
        </w:tc>
      </w:tr>
    </w:tbl>
    <w:p w:rsidR="002F2A46" w:rsidRPr="00A53FF9" w:rsidRDefault="002F2A46" w:rsidP="002F2A46">
      <w:pPr>
        <w:pStyle w:val="Olang"/>
        <w:rPr>
          <w:szCs w:val="24"/>
        </w:rPr>
      </w:pPr>
      <w:r w:rsidRPr="0084500F">
        <w:t xml:space="preserve">Or. </w:t>
      </w:r>
      <w:r w:rsidRPr="00B1615C">
        <w:rPr>
          <w:rStyle w:val="HideTWBExt"/>
        </w:rPr>
        <w:t>&lt;Original&gt;</w:t>
      </w:r>
      <w:r w:rsidRPr="00B1615C">
        <w:rPr>
          <w:rStyle w:val="HideTWBInt"/>
        </w:rPr>
        <w:t>{BG}</w:t>
      </w:r>
      <w:r w:rsidRPr="0084500F">
        <w:t>bg</w:t>
      </w:r>
      <w:r w:rsidRPr="00B1615C">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84500F">
        <w:t>Amendement</w:t>
      </w:r>
      <w:r w:rsidRPr="0084500F">
        <w:tab/>
      </w:r>
      <w:r w:rsidRPr="0084500F">
        <w:tab/>
      </w:r>
      <w:r>
        <w:rPr>
          <w:rStyle w:val="HideTWBExt"/>
          <w:b w:val="0"/>
        </w:rPr>
        <w:t>&lt;NumAm&gt;</w:t>
      </w:r>
      <w:r w:rsidRPr="0084500F">
        <w:t>193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84500F">
        <w:t>Momchil Nekov</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84500F">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84500F">
        <w:t>Considérant 34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84500F" w:rsidRDefault="002F2A46" w:rsidP="003A3553">
            <w:pPr>
              <w:pStyle w:val="ColumnHeading"/>
              <w:keepNext/>
              <w:rPr>
                <w:noProof/>
              </w:rPr>
            </w:pPr>
            <w:r w:rsidRPr="0084500F">
              <w:t>Texte proposé par la Commission</w:t>
            </w:r>
          </w:p>
        </w:tc>
        <w:tc>
          <w:tcPr>
            <w:tcW w:w="4876" w:type="dxa"/>
            <w:hideMark/>
          </w:tcPr>
          <w:p w:rsidR="002F2A46" w:rsidRPr="0084500F" w:rsidRDefault="002F2A46" w:rsidP="003A3553">
            <w:pPr>
              <w:pStyle w:val="ColumnHeading"/>
              <w:keepNext/>
              <w:rPr>
                <w:noProof/>
              </w:rPr>
            </w:pPr>
            <w:r w:rsidRPr="0084500F">
              <w:t>Amendement</w:t>
            </w:r>
          </w:p>
        </w:tc>
      </w:tr>
      <w:tr w:rsidR="002F2A46" w:rsidRPr="00A53FF9" w:rsidTr="003A3553">
        <w:trPr>
          <w:jc w:val="center"/>
        </w:trPr>
        <w:tc>
          <w:tcPr>
            <w:tcW w:w="4876" w:type="dxa"/>
          </w:tcPr>
          <w:p w:rsidR="002F2A46" w:rsidRPr="0084500F" w:rsidRDefault="002F2A46" w:rsidP="003A3553">
            <w:pPr>
              <w:pStyle w:val="Normal6"/>
              <w:rPr>
                <w:noProof/>
              </w:rPr>
            </w:pPr>
          </w:p>
        </w:tc>
        <w:tc>
          <w:tcPr>
            <w:tcW w:w="4876" w:type="dxa"/>
            <w:hideMark/>
          </w:tcPr>
          <w:p w:rsidR="002F2A46" w:rsidRPr="0084500F" w:rsidRDefault="002F2A46" w:rsidP="003A3553">
            <w:pPr>
              <w:pStyle w:val="Normal6"/>
              <w:rPr>
                <w:noProof/>
                <w:szCs w:val="24"/>
              </w:rPr>
            </w:pPr>
            <w:r w:rsidRPr="0084500F">
              <w:rPr>
                <w:b/>
                <w:i/>
              </w:rPr>
              <w:t>(34 bis)</w:t>
            </w:r>
            <w:r w:rsidRPr="0084500F">
              <w:rPr>
                <w:b/>
                <w:i/>
              </w:rPr>
              <w:tab/>
              <w:t>la liste des produits susceptibles d’être protégés par des AOP/IGP devrait être étendue à des produits de plus en plus recherchés par les consommateurs européens, tels que la cire d’abeille, qui est de plus en plus utilisée dans les industries alimentaire et cosmétique.</w:t>
            </w:r>
          </w:p>
        </w:tc>
      </w:tr>
    </w:tbl>
    <w:p w:rsidR="002F2A46" w:rsidRPr="00A53FF9" w:rsidRDefault="002F2A46" w:rsidP="002F2A46">
      <w:pPr>
        <w:pStyle w:val="Olang"/>
        <w:rPr>
          <w:szCs w:val="24"/>
        </w:rPr>
      </w:pPr>
      <w:r w:rsidRPr="0084500F">
        <w:t xml:space="preserve">Or. </w:t>
      </w:r>
      <w:r w:rsidRPr="00B1615C">
        <w:rPr>
          <w:rStyle w:val="HideTWBExt"/>
        </w:rPr>
        <w:t>&lt;Original&gt;</w:t>
      </w:r>
      <w:r w:rsidRPr="00B1615C">
        <w:rPr>
          <w:rStyle w:val="HideTWBInt"/>
        </w:rPr>
        <w:t>{BG}</w:t>
      </w:r>
      <w:r w:rsidRPr="0084500F">
        <w:t>bg</w:t>
      </w:r>
      <w:r w:rsidRPr="00B1615C">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84500F">
        <w:t>Amendement</w:t>
      </w:r>
      <w:r w:rsidRPr="0084500F">
        <w:tab/>
      </w:r>
      <w:r w:rsidRPr="0084500F">
        <w:tab/>
      </w:r>
      <w:r>
        <w:rPr>
          <w:rStyle w:val="HideTWBExt"/>
          <w:b w:val="0"/>
        </w:rPr>
        <w:t>&lt;NumAm&gt;</w:t>
      </w:r>
      <w:r w:rsidRPr="0084500F">
        <w:t>194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84500F">
        <w:t>Momchil Nekov</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84500F">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84500F">
        <w:t>Considérant 34 ter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84500F" w:rsidRDefault="002F2A46" w:rsidP="003A3553">
            <w:pPr>
              <w:pStyle w:val="ColumnHeading"/>
              <w:keepNext/>
              <w:rPr>
                <w:noProof/>
              </w:rPr>
            </w:pPr>
            <w:r w:rsidRPr="0084500F">
              <w:t>Texte proposé par la Commission</w:t>
            </w:r>
          </w:p>
        </w:tc>
        <w:tc>
          <w:tcPr>
            <w:tcW w:w="4876" w:type="dxa"/>
            <w:hideMark/>
          </w:tcPr>
          <w:p w:rsidR="002F2A46" w:rsidRPr="0084500F" w:rsidRDefault="002F2A46" w:rsidP="003A3553">
            <w:pPr>
              <w:pStyle w:val="ColumnHeading"/>
              <w:keepNext/>
              <w:rPr>
                <w:noProof/>
              </w:rPr>
            </w:pPr>
            <w:r w:rsidRPr="0084500F">
              <w:t>Amendement</w:t>
            </w:r>
          </w:p>
        </w:tc>
      </w:tr>
      <w:tr w:rsidR="002F2A46" w:rsidRPr="00A53FF9" w:rsidTr="003A3553">
        <w:trPr>
          <w:jc w:val="center"/>
        </w:trPr>
        <w:tc>
          <w:tcPr>
            <w:tcW w:w="4876" w:type="dxa"/>
          </w:tcPr>
          <w:p w:rsidR="002F2A46" w:rsidRPr="0084500F" w:rsidRDefault="002F2A46" w:rsidP="003A3553">
            <w:pPr>
              <w:pStyle w:val="Normal6"/>
              <w:rPr>
                <w:noProof/>
              </w:rPr>
            </w:pPr>
          </w:p>
        </w:tc>
        <w:tc>
          <w:tcPr>
            <w:tcW w:w="4876" w:type="dxa"/>
            <w:hideMark/>
          </w:tcPr>
          <w:p w:rsidR="002F2A46" w:rsidRPr="0084500F" w:rsidRDefault="002F2A46" w:rsidP="003A3553">
            <w:pPr>
              <w:pStyle w:val="Normal6"/>
              <w:rPr>
                <w:noProof/>
                <w:szCs w:val="24"/>
              </w:rPr>
            </w:pPr>
            <w:r w:rsidRPr="0084500F">
              <w:rPr>
                <w:b/>
                <w:i/>
              </w:rPr>
              <w:t>(34 ter)</w:t>
            </w:r>
            <w:r w:rsidRPr="0084500F">
              <w:rPr>
                <w:b/>
                <w:i/>
              </w:rPr>
              <w:tab/>
              <w:t>étant donné que le nombre de produits protégés par des indications géographiques (IG) ne cesse d’augmenter, ce qui suppose un renforcement des contrôles, y compris les contrôles douaniers, les États membres devraient attribuer un code douanier unique à un plus grand nombre de produits protégés dans le cadre de régimes européens de qualité, tels que les AOP et les IGP.</w:t>
            </w:r>
          </w:p>
        </w:tc>
      </w:tr>
    </w:tbl>
    <w:p w:rsidR="002F2A46" w:rsidRPr="00A53FF9" w:rsidRDefault="002F2A46" w:rsidP="002F2A46">
      <w:pPr>
        <w:pStyle w:val="Olang"/>
        <w:rPr>
          <w:szCs w:val="24"/>
        </w:rPr>
      </w:pPr>
      <w:r w:rsidRPr="0084500F">
        <w:t xml:space="preserve">Or. </w:t>
      </w:r>
      <w:r w:rsidRPr="00B1615C">
        <w:rPr>
          <w:rStyle w:val="HideTWBExt"/>
        </w:rPr>
        <w:t>&lt;Original&gt;</w:t>
      </w:r>
      <w:r w:rsidRPr="00B1615C">
        <w:rPr>
          <w:rStyle w:val="HideTWBInt"/>
        </w:rPr>
        <w:t>{BG}</w:t>
      </w:r>
      <w:r w:rsidRPr="0084500F">
        <w:t>bg</w:t>
      </w:r>
      <w:r w:rsidRPr="00B1615C">
        <w:rPr>
          <w:rStyle w:val="HideTWBExt"/>
        </w:rPr>
        <w:t>&lt;/Original&gt;</w:t>
      </w:r>
    </w:p>
    <w:p w:rsidR="002F2A46" w:rsidRPr="00A53FF9" w:rsidRDefault="002F2A46" w:rsidP="002F2A46">
      <w:pPr>
        <w:pStyle w:val="AMNumberTabs"/>
        <w:keepNext/>
      </w:pPr>
      <w:r>
        <w:rPr>
          <w:rStyle w:val="HideTWBExt"/>
        </w:rPr>
        <w:t>&lt;/Amend&gt;</w:t>
      </w:r>
      <w:r w:rsidRPr="00A53FF9">
        <w:rPr>
          <w:rStyle w:val="HideTWBExt"/>
          <w:b w:val="0"/>
        </w:rPr>
        <w:t>&lt;Amend&gt;</w:t>
      </w:r>
      <w:r w:rsidRPr="00A53FF9">
        <w:t>Amendement</w:t>
      </w:r>
      <w:r w:rsidRPr="00A53FF9">
        <w:tab/>
      </w:r>
      <w:r w:rsidRPr="00A53FF9">
        <w:tab/>
      </w:r>
      <w:r w:rsidRPr="00A53FF9">
        <w:rPr>
          <w:rStyle w:val="HideTWBExt"/>
          <w:b w:val="0"/>
        </w:rPr>
        <w:t>&lt;NumAm&gt;</w:t>
      </w:r>
      <w:r w:rsidRPr="00A53FF9">
        <w:t>195</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35</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(35)</w:t>
            </w:r>
            <w:r w:rsidRPr="00A53FF9">
              <w:tab/>
              <w:t xml:space="preserve">Il convient </w:t>
            </w:r>
            <w:r w:rsidRPr="00A53FF9">
              <w:rPr>
                <w:b/>
                <w:i/>
              </w:rPr>
              <w:t>d’actualiser</w:t>
            </w:r>
            <w:r w:rsidRPr="00A53FF9">
              <w:t xml:space="preserve"> le montant des ressources financières disponibles pour le financement des mesures au titre des règlements (UE) n° 228/2013</w:t>
            </w:r>
            <w:r w:rsidRPr="00A53FF9">
              <w:rPr>
                <w:vertAlign w:val="superscript"/>
              </w:rPr>
              <w:t>20</w:t>
            </w:r>
            <w:r w:rsidRPr="00A53FF9">
              <w:t xml:space="preserve"> et (UE) n° 229/2013 du Parlement européen et du Conseil</w:t>
            </w:r>
            <w:r w:rsidRPr="00A53FF9">
              <w:rPr>
                <w:vertAlign w:val="superscript"/>
              </w:rPr>
              <w:t>21</w:t>
            </w:r>
            <w:r w:rsidRPr="00A53FF9">
              <w:t xml:space="preserve"> .</w:t>
            </w:r>
          </w:p>
        </w:tc>
        <w:tc>
          <w:tcPr>
            <w:tcW w:w="4876" w:type="dxa"/>
            <w:hideMark/>
          </w:tcPr>
          <w:p w:rsidR="002F2A46" w:rsidRPr="00A53FF9" w:rsidRDefault="002F2A46" w:rsidP="003A3553">
            <w:pPr>
              <w:pStyle w:val="Normal6"/>
              <w:rPr>
                <w:szCs w:val="24"/>
              </w:rPr>
            </w:pPr>
            <w:r w:rsidRPr="00A53FF9">
              <w:t>(35)</w:t>
            </w:r>
            <w:r w:rsidRPr="00A53FF9">
              <w:tab/>
              <w:t xml:space="preserve">Il convient </w:t>
            </w:r>
            <w:r w:rsidRPr="00A53FF9">
              <w:rPr>
                <w:b/>
                <w:i/>
              </w:rPr>
              <w:t>de maintenir</w:t>
            </w:r>
            <w:r w:rsidRPr="00A53FF9">
              <w:t xml:space="preserve"> le montant des ressources financières disponibles pour le financement des mesures au titre des règlements (UE) n° 228/2013</w:t>
            </w:r>
            <w:r w:rsidRPr="00A53FF9">
              <w:rPr>
                <w:vertAlign w:val="superscript"/>
              </w:rPr>
              <w:t>20</w:t>
            </w:r>
            <w:r w:rsidRPr="00A53FF9">
              <w:t xml:space="preserve"> et (UE) n° 229/2013 du Parlement européen et du Conseil</w:t>
            </w:r>
            <w:r w:rsidRPr="00A53FF9">
              <w:rPr>
                <w:vertAlign w:val="superscript"/>
              </w:rPr>
              <w:t>21</w:t>
            </w:r>
            <w:r w:rsidRPr="00A53FF9">
              <w:t xml:space="preserve"> .</w:t>
            </w:r>
          </w:p>
        </w:tc>
      </w:tr>
      <w:tr w:rsidR="002F2A46" w:rsidRPr="00A53FF9" w:rsidTr="003A3553">
        <w:trPr>
          <w:jc w:val="center"/>
        </w:trPr>
        <w:tc>
          <w:tcPr>
            <w:tcW w:w="4876" w:type="dxa"/>
            <w:hideMark/>
          </w:tcPr>
          <w:p w:rsidR="002F2A46" w:rsidRPr="00A53FF9" w:rsidRDefault="002F2A46" w:rsidP="003A3553">
            <w:pPr>
              <w:pStyle w:val="Normal6"/>
            </w:pPr>
            <w:r w:rsidRPr="00A53FF9">
              <w:t>__________________</w:t>
            </w:r>
          </w:p>
        </w:tc>
        <w:tc>
          <w:tcPr>
            <w:tcW w:w="4876" w:type="dxa"/>
            <w:hideMark/>
          </w:tcPr>
          <w:p w:rsidR="002F2A46" w:rsidRPr="00A53FF9" w:rsidRDefault="002F2A46" w:rsidP="003A3553">
            <w:pPr>
              <w:pStyle w:val="Normal6"/>
              <w:rPr>
                <w:szCs w:val="24"/>
              </w:rPr>
            </w:pPr>
            <w:r w:rsidRPr="00A53FF9">
              <w:t>__________________</w:t>
            </w:r>
          </w:p>
        </w:tc>
      </w:tr>
      <w:tr w:rsidR="002F2A46" w:rsidRPr="00A53FF9" w:rsidTr="003A3553">
        <w:trPr>
          <w:jc w:val="center"/>
        </w:trPr>
        <w:tc>
          <w:tcPr>
            <w:tcW w:w="4876" w:type="dxa"/>
            <w:hideMark/>
          </w:tcPr>
          <w:p w:rsidR="002F2A46" w:rsidRPr="00A53FF9" w:rsidRDefault="002F2A46" w:rsidP="003A3553">
            <w:pPr>
              <w:pStyle w:val="Normal6"/>
            </w:pPr>
            <w:r w:rsidRPr="00A53FF9">
              <w:rPr>
                <w:vertAlign w:val="superscript"/>
              </w:rPr>
              <w:t>20</w:t>
            </w:r>
            <w:r w:rsidRPr="00A53FF9">
              <w:t xml:space="preserve"> Règlement (UE) n° 228/2013 du Parlement européen et du Conseil du 13 mars 2013 portant mesures spécifiques dans le domaine de l’agriculture en faveur des régions ultrapériphériques de l’Union et abrogeant le règlement (CE) n° 247/2006 du Conseil (JO L 78 du 20.3.2013, p. 23).</w:t>
            </w:r>
          </w:p>
        </w:tc>
        <w:tc>
          <w:tcPr>
            <w:tcW w:w="4876" w:type="dxa"/>
            <w:hideMark/>
          </w:tcPr>
          <w:p w:rsidR="002F2A46" w:rsidRPr="00A53FF9" w:rsidRDefault="002F2A46" w:rsidP="003A3553">
            <w:pPr>
              <w:pStyle w:val="Normal6"/>
              <w:rPr>
                <w:szCs w:val="24"/>
              </w:rPr>
            </w:pPr>
            <w:r w:rsidRPr="00A53FF9">
              <w:rPr>
                <w:vertAlign w:val="superscript"/>
              </w:rPr>
              <w:t>20</w:t>
            </w:r>
            <w:r w:rsidRPr="00A53FF9">
              <w:t xml:space="preserve"> Règlement (UE) n° 228/2013 du Parlement européen et du Conseil du 13 mars 2013 portant mesures spécifiques dans le domaine de l’agriculture en faveur des régions ultrapériphériques de l’Union et abrogeant le règlement (CE) n° 247/2006 du Conseil (JO L 78 du 20.3.2013, p. 23).</w:t>
            </w:r>
          </w:p>
        </w:tc>
      </w:tr>
      <w:tr w:rsidR="002F2A46" w:rsidRPr="00A53FF9" w:rsidTr="003A3553">
        <w:trPr>
          <w:jc w:val="center"/>
        </w:trPr>
        <w:tc>
          <w:tcPr>
            <w:tcW w:w="4876" w:type="dxa"/>
            <w:hideMark/>
          </w:tcPr>
          <w:p w:rsidR="002F2A46" w:rsidRPr="00A53FF9" w:rsidRDefault="002F2A46" w:rsidP="003A3553">
            <w:pPr>
              <w:pStyle w:val="Normal6"/>
            </w:pPr>
            <w:r w:rsidRPr="00A53FF9">
              <w:rPr>
                <w:vertAlign w:val="superscript"/>
              </w:rPr>
              <w:t>21</w:t>
            </w:r>
            <w:r w:rsidRPr="00A53FF9">
              <w:t xml:space="preserve"> Règlement (UE) n° 229/2013 du Parlement européen et du Conseil du 13 mars 2013 portant mesures spécifiques dans le domaine de l’agriculture en faveur des îles mineures de la mer Égée et abrogeant le règlement (CE) n° 1405/2006 du Conseil (JO L 78 du 20.3.2013, p. 41).</w:t>
            </w:r>
          </w:p>
        </w:tc>
        <w:tc>
          <w:tcPr>
            <w:tcW w:w="4876" w:type="dxa"/>
            <w:hideMark/>
          </w:tcPr>
          <w:p w:rsidR="002F2A46" w:rsidRPr="00A53FF9" w:rsidRDefault="002F2A46" w:rsidP="003A3553">
            <w:pPr>
              <w:pStyle w:val="Normal6"/>
              <w:rPr>
                <w:szCs w:val="24"/>
              </w:rPr>
            </w:pPr>
            <w:r w:rsidRPr="00A53FF9">
              <w:rPr>
                <w:vertAlign w:val="superscript"/>
              </w:rPr>
              <w:t>21</w:t>
            </w:r>
            <w:r w:rsidRPr="00A53FF9">
              <w:t xml:space="preserve"> Règlement (UE) n° 229/2013 du Parlement européen et du Conseil du 13 mars 2013 portant mesures spécifiques dans le domaine de l’agriculture en faveur des îles mineures de la mer Égée et abrogeant le règlement (CE) n° 1405/2006 du Conseil (JO L 78 du 20.3.2013, p. 41).</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rétablir les montants consacrés aux régions ultrapériphériques dans le cadre du POSEI, en ligne avec la résolution du Parlement européen du 14 novembre 2018 sur le cadre financier pluriannuel pour la période 2021-2027 – Position du Parlement en vue d’un accord et les engagements pris par le Président de la Commission Jean-Claude Juncker à Cayenne le 27 octobre 2017.</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196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Sofia Ribeiro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Considérant 35</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(35)</w:t>
            </w:r>
            <w:r w:rsidRPr="005828C1">
              <w:tab/>
              <w:t xml:space="preserve">Il convient </w:t>
            </w:r>
            <w:r w:rsidRPr="005828C1">
              <w:rPr>
                <w:b/>
                <w:i/>
              </w:rPr>
              <w:t>d’actualiser</w:t>
            </w:r>
            <w:r w:rsidRPr="005828C1">
              <w:t xml:space="preserve"> le montant des ressources financières disponibles pour le financement des mesures au titre des règlements (UE) n° 228/2013</w:t>
            </w:r>
            <w:r w:rsidRPr="005828C1">
              <w:rPr>
                <w:vertAlign w:val="superscript"/>
              </w:rPr>
              <w:t>20</w:t>
            </w:r>
            <w:r w:rsidRPr="005828C1">
              <w:t xml:space="preserve"> et (UE) n° 229/2013</w:t>
            </w:r>
            <w:r w:rsidRPr="005828C1">
              <w:rPr>
                <w:vertAlign w:val="superscript"/>
              </w:rPr>
              <w:t>21</w:t>
            </w:r>
            <w:r w:rsidRPr="005828C1">
              <w:t xml:space="preserve"> du Parlement européen et du Conseil.</w:t>
            </w:r>
          </w:p>
        </w:tc>
        <w:tc>
          <w:tcPr>
            <w:tcW w:w="4876" w:type="dxa"/>
            <w:hideMark/>
          </w:tcPr>
          <w:p w:rsidR="002F2A46" w:rsidRPr="005828C1" w:rsidRDefault="002F2A46" w:rsidP="003A3553">
            <w:pPr>
              <w:pStyle w:val="Normal6"/>
              <w:rPr>
                <w:noProof/>
                <w:szCs w:val="24"/>
              </w:rPr>
            </w:pPr>
            <w:r w:rsidRPr="005828C1">
              <w:t>(35)</w:t>
            </w:r>
            <w:r w:rsidRPr="005828C1">
              <w:tab/>
              <w:t xml:space="preserve">Il convient </w:t>
            </w:r>
            <w:r w:rsidRPr="005828C1">
              <w:rPr>
                <w:b/>
                <w:i/>
              </w:rPr>
              <w:t>d’augmenter</w:t>
            </w:r>
            <w:r w:rsidRPr="005828C1">
              <w:t xml:space="preserve"> le montant des ressources financières disponibles pour le financement des mesures au titre des règlements (UE) n° 228/2013</w:t>
            </w:r>
            <w:r w:rsidRPr="005828C1">
              <w:rPr>
                <w:vertAlign w:val="superscript"/>
              </w:rPr>
              <w:t>20</w:t>
            </w:r>
            <w:r w:rsidRPr="005828C1">
              <w:t xml:space="preserve"> et (UE) n° 229/2013</w:t>
            </w:r>
            <w:r w:rsidRPr="005828C1">
              <w:rPr>
                <w:vertAlign w:val="superscript"/>
              </w:rPr>
              <w:t>21</w:t>
            </w:r>
            <w:r w:rsidRPr="005828C1">
              <w:t xml:space="preserve"> du Parlement européen et du Conseil.</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__________________</w:t>
            </w:r>
          </w:p>
        </w:tc>
        <w:tc>
          <w:tcPr>
            <w:tcW w:w="4876" w:type="dxa"/>
            <w:hideMark/>
          </w:tcPr>
          <w:p w:rsidR="002F2A46" w:rsidRPr="005828C1" w:rsidRDefault="002F2A46" w:rsidP="003A3553">
            <w:pPr>
              <w:pStyle w:val="Normal6"/>
              <w:rPr>
                <w:noProof/>
                <w:szCs w:val="24"/>
              </w:rPr>
            </w:pPr>
            <w:r w:rsidRPr="005828C1">
              <w:t>__________________</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rPr>
                <w:vertAlign w:val="superscript"/>
              </w:rPr>
              <w:t>20</w:t>
            </w:r>
            <w:r w:rsidRPr="005828C1">
              <w:t xml:space="preserve"> Règlement (UE) n° 228/2013 du Parlement européen et du Conseil du 13 mars 2013 portant mesures spécifiques dans le domaine de l’agriculture en faveur des régions ultrapériphériques de l’Union et abrogeant le règlement (CE) n° 247/2006 du Conseil (JO L 78 du 20.3.2013, p. 23).</w:t>
            </w:r>
          </w:p>
        </w:tc>
        <w:tc>
          <w:tcPr>
            <w:tcW w:w="4876" w:type="dxa"/>
            <w:hideMark/>
          </w:tcPr>
          <w:p w:rsidR="002F2A46" w:rsidRPr="005828C1" w:rsidRDefault="002F2A46" w:rsidP="003A3553">
            <w:pPr>
              <w:pStyle w:val="Normal6"/>
              <w:rPr>
                <w:noProof/>
                <w:szCs w:val="24"/>
              </w:rPr>
            </w:pPr>
            <w:r w:rsidRPr="005828C1">
              <w:rPr>
                <w:vertAlign w:val="superscript"/>
              </w:rPr>
              <w:t>20</w:t>
            </w:r>
            <w:r w:rsidRPr="005828C1">
              <w:t xml:space="preserve"> Règlement (UE) n° 228/2013 du Parlement européen et du Conseil du 13 mars 2013 portant mesures spécifiques dans le domaine de l’agriculture en faveur des régions ultrapériphériques de l’Union et abrogeant le règlement (CE) n° 247/2006 du Conseil (JO L 78 du 20.3.2013, p. 23).</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rPr>
                <w:vertAlign w:val="superscript"/>
              </w:rPr>
              <w:t>21</w:t>
            </w:r>
            <w:r w:rsidRPr="005828C1">
              <w:t xml:space="preserve"> Règlement (UE) n° 229/2013 du Parlement européen et du Conseil du 13 mars 2013 portant mesures spécifiques dans le domaine de l’agriculture en faveur des îles mineures de la mer Égée et abrogeant le règlement (CE) n° 1405/2006 du Conseil (JO L 78 du 20.3.2013, p. 41).</w:t>
            </w:r>
          </w:p>
        </w:tc>
        <w:tc>
          <w:tcPr>
            <w:tcW w:w="4876" w:type="dxa"/>
            <w:hideMark/>
          </w:tcPr>
          <w:p w:rsidR="002F2A46" w:rsidRPr="005828C1" w:rsidRDefault="002F2A46" w:rsidP="003A3553">
            <w:pPr>
              <w:pStyle w:val="Normal6"/>
              <w:rPr>
                <w:noProof/>
                <w:szCs w:val="24"/>
              </w:rPr>
            </w:pPr>
            <w:r w:rsidRPr="005828C1">
              <w:rPr>
                <w:vertAlign w:val="superscript"/>
              </w:rPr>
              <w:t>21</w:t>
            </w:r>
            <w:r w:rsidRPr="005828C1">
              <w:t xml:space="preserve"> Règlement (UE) n° 229/2013 du Parlement européen et du Conseil du 13 mars 2013 portant mesures spécifiques dans le domaine de l’agriculture en faveur des îles mineures de la mer Égée et abrogeant le règlement (CE) n° 1405/2006 du Conseil (JO L 78 du 20.3.2013, p. 41).</w:t>
            </w:r>
          </w:p>
        </w:tc>
      </w:tr>
    </w:tbl>
    <w:p w:rsidR="002F2A46" w:rsidRPr="00CD03D8" w:rsidRDefault="002F2A46" w:rsidP="002F2A46">
      <w:pPr>
        <w:pStyle w:val="Olang"/>
        <w:rPr>
          <w:szCs w:val="24"/>
        </w:rPr>
      </w:pPr>
      <w:r w:rsidRPr="00CD03D8">
        <w:t xml:space="preserve">Or. </w:t>
      </w:r>
      <w:r w:rsidRPr="00CD03D8">
        <w:rPr>
          <w:rStyle w:val="HideTWBExt"/>
        </w:rPr>
        <w:t>&lt;Original&gt;</w:t>
      </w:r>
      <w:r w:rsidRPr="00CD03D8">
        <w:rPr>
          <w:rStyle w:val="HideTWBInt"/>
        </w:rPr>
        <w:t>{PT}</w:t>
      </w:r>
      <w:r w:rsidRPr="00CD03D8">
        <w:t>pt</w:t>
      </w:r>
      <w:r w:rsidRPr="00CD03D8">
        <w:rPr>
          <w:rStyle w:val="HideTWBExt"/>
        </w:rPr>
        <w:t>&lt;/Original&gt;</w:t>
      </w:r>
    </w:p>
    <w:p w:rsidR="002F2A46" w:rsidRPr="00CD03D8" w:rsidRDefault="002F2A46" w:rsidP="002F2A46">
      <w:pPr>
        <w:rPr>
          <w:noProof/>
        </w:rPr>
      </w:pPr>
      <w:r w:rsidRPr="00CD03D8">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197</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Considérant 35 bis (nouveau)</w:t>
      </w:r>
      <w:r w:rsidRPr="00A53FF9">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(35 bis)</w:t>
            </w:r>
            <w:r w:rsidRPr="00A53FF9">
              <w:rPr>
                <w:b/>
                <w:i/>
              </w:rPr>
              <w:tab/>
              <w:t>Les organisations interprofessionnelles reconnues en vertu de l'article 157 du règlement (UE) 1308/2013 portant organisation commune des marchés agricoles sont des opérateurs indispensables pour le développement des filières agricoles de diversification des régions ultrapériphériques, notamment dans les filières d'élevage. En effet, en raison de leur taille exiguë et de leur insularité, les marchés locaux des régions ultrapériphériques sont particulièrement exposés aux variations de prix liées aux flux d'importation du reste du continent ou de pays tiers. Ces organisations interprofessionnelles réunissent l'ensemble des opérateurs, de l'amont à l'aval, intervenant sur le marché et, à ce titre, mettent en place les actions collectives permettant à la production locale de se maintenir sur son marché notamment via des actions de collecte de données ou de diffusion d'informations. À cette fin, nonobstant les articles 28, 29 et 110 du TFUE et sans préjudice des articles 164 et 165 du règlement (UE) 1308/2013, il convient de permettre que dans le cadre d’accords interprofessionnels étendus, l’État membre en question puisse, après consultation des acteurs concernés, rendre redevables les opérateurs économiques individuels ou les groupes d’opérateurs non-membres de l’organisation qui interviennent sur le marché local, sans distinction de leur provenance, y compris lorsque le produit de ces cotisations finance des actions en faveur du maintien de la production locale ou lorsque ces cotisations sont prélevées à un stade commercial différent.</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adapter aux réalités des régions ultrapériphériques les règles d'extensions des règles interprofessionnelles. Ces organisations sont des opérateurs indispensables pour le développement des filières ultrapériphériques, qui ont des marchés exposés aux variations de prix. Ces organisations mettent en place des actions de collecte ou de diffusion de données et les cotisations perçues au titre de ces accords devraient pouvoir être étendus par l'Etat membre à l'ensemble des produits agricoles mis sur le marché local, sans distinction de leur provenance.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198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38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(38 bis)</w:t>
            </w:r>
            <w:r w:rsidRPr="00421CE3">
              <w:rPr>
                <w:b/>
                <w:i/>
              </w:rPr>
              <w:tab/>
              <w:t>Il est indiqué de compléter la législation en matière d’étiquetage des produits vinicoles par l’ajout d’informations sur la valeur énergétique des vins. Toutefois, il convient d’exempter les petits producteurs vinicoles et les petites distilleries, tels que définis à l’article 22, paragraphes 2 et 4, de la directive 92/83/CEE du 19 octobre 1992 concernant l’harmonisation des structures des droits d’accises sur l’alcool et les boissons alcooliques, afin de leur épargner une charge administrative insupportable du fait du renouvellement obligatoire de leur matériel d’étiquetage.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199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Matt Carthy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Considérant 38 bis (nouveau)</w:t>
      </w:r>
      <w:r>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(38 bis)</w:t>
            </w:r>
            <w:r w:rsidRPr="00421CE3">
              <w:rPr>
                <w:b/>
                <w:i/>
              </w:rPr>
              <w:tab/>
              <w:t>Afin de lutter contre la potentielle volatilité à l’avenir du marché du lait, il convient de réviser et de renforcer les compétences de l’observatoire du marché du lait. En outre, il convient de mettre en place à l’échelle de l’Union un programme de responsabilisation des marchés destiné à prévenir les déséquilibres du marché et à y répondre, afin de garantir des revenus agricoles stables.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Voir le libellé du considérant 53 de l’acte de base, le règlement (UE) nº 1308/2013.</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200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 Michel Dantin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-1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(-1)</w:t>
            </w:r>
            <w:r w:rsidRPr="00421CE3">
              <w:rPr>
                <w:b/>
                <w:i/>
              </w:rPr>
              <w:tab/>
              <w:t>L’article 1</w:t>
            </w:r>
            <w:r w:rsidRPr="00421CE3">
              <w:rPr>
                <w:b/>
                <w:i/>
                <w:vertAlign w:val="superscript"/>
              </w:rPr>
              <w:t>er</w:t>
            </w:r>
            <w:r w:rsidRPr="00421CE3">
              <w:rPr>
                <w:b/>
                <w:i/>
              </w:rPr>
              <w:t xml:space="preserve">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 Le présent règlement établit une organisation commune des marchés pour les produits agricoles, c'est-à-dire tous les produits énumérés à l'annexe I des traités, à l'exclusion des produits de la pêche et de l'aquaculture définis dans les actes législatifs de l'Union sur l'organisation commune des marchés des produits de la pêche et de l'aquaculture.</w:t>
            </w:r>
          </w:p>
        </w:tc>
        <w:tc>
          <w:tcPr>
            <w:tcW w:w="4876" w:type="dxa"/>
            <w:hideMark/>
          </w:tcPr>
          <w:p w:rsidR="002F2A46" w:rsidRPr="00421CE3" w:rsidRDefault="002F2A46" w:rsidP="003A3553">
            <w:pPr>
              <w:pStyle w:val="Normal6"/>
              <w:rPr>
                <w:noProof/>
                <w:szCs w:val="24"/>
              </w:rPr>
            </w:pPr>
            <w:r w:rsidRPr="00421CE3">
              <w:t xml:space="preserve">«1. Le présent règlement établit une organisation commune des marchés pour les produits agricoles, c'est-à-dire tous les produits énumérés à l'annexe I des traités, à l'exclusion des produits de la pêche et de l'aquaculture définis dans les actes législatifs de l'Union sur l'organisation commune des marchés des produits de la pêche et de l'aquaculture. </w:t>
            </w:r>
            <w:r w:rsidRPr="00421CE3">
              <w:rPr>
                <w:b/>
                <w:i/>
              </w:rPr>
              <w:t>Le présent règlement fixe les normes publiques, les règles de transparence des marchés et les instruments de gestion des crises qui permettent aux autorités publiques, et en premier lieu la Commission, d’assurer la surveillance, la gestion et la réglementation des marchés agricoles.</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 </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(https://eur-lex.europa.eu/legal-content/FR/TXT/HTML/?uri=CELEX:02013R1308-20180101&amp;qid=1544002681050&amp;from=FR)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Un champ d’application commun est nécessaire pour les nouveaux règlements relatifs à l’OCM unique, même s’ils prendront la forme d’actes amendés de l’Union.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201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-1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 – paragraphe 1 – point c</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w:t>
            </w:r>
            <w:r w:rsidRPr="00A53FF9">
              <w:rPr>
                <w:b/>
                <w:i/>
              </w:rPr>
              <w:tab/>
              <w:t>A l'article 1, paragraphe 1, le point c est remplacé par le texte suivant :</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c</w:t>
            </w:r>
            <w:r w:rsidRPr="00A53FF9">
              <w:t>) sucre, partie III;</w:t>
            </w:r>
          </w:p>
        </w:tc>
        <w:tc>
          <w:tcPr>
            <w:tcW w:w="4876" w:type="dxa"/>
            <w:hideMark/>
          </w:tcPr>
          <w:p w:rsidR="002F2A46" w:rsidRPr="00A53FF9" w:rsidRDefault="00CD03D8" w:rsidP="003A3553">
            <w:pPr>
              <w:pStyle w:val="Normal6"/>
              <w:rPr>
                <w:szCs w:val="24"/>
              </w:rPr>
            </w:pPr>
            <w:r>
              <w:t>«</w:t>
            </w:r>
            <w:r w:rsidR="002F2A46" w:rsidRPr="00A53FF9">
              <w:rPr>
                <w:b/>
                <w:i/>
              </w:rPr>
              <w:t>c</w:t>
            </w:r>
            <w:r w:rsidR="002F2A46" w:rsidRPr="00A53FF9">
              <w:t xml:space="preserve">) </w:t>
            </w:r>
            <w:r w:rsidR="002F2A46" w:rsidRPr="00A53FF9">
              <w:rPr>
                <w:b/>
                <w:i/>
              </w:rPr>
              <w:t>sucre, betterave à sucre et canne à</w:t>
            </w:r>
            <w:r w:rsidR="002F2A46" w:rsidRPr="00A53FF9">
              <w:t xml:space="preserve"> sucre, partie III;</w:t>
            </w:r>
            <w: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compléter le point c) avec l'ajout de "betterave à sucre et canne à sucre" en ligne avec la définition du secteur du sucre visé à l'Annexe I, Partie III du présent règlement.</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202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-1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 – paragraphe 2 – point w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(-1 bis)</w:t>
            </w:r>
            <w:r w:rsidRPr="00421CE3">
              <w:rPr>
                <w:b/>
                <w:i/>
              </w:rPr>
              <w:tab/>
              <w:t>l’article 1</w:t>
            </w:r>
            <w:r w:rsidRPr="00421CE3">
              <w:rPr>
                <w:b/>
                <w:i/>
                <w:vertAlign w:val="superscript"/>
              </w:rPr>
              <w:t>er</w:t>
            </w:r>
            <w:r w:rsidRPr="00421CE3">
              <w:rPr>
                <w:b/>
                <w:i/>
              </w:rPr>
              <w:t>, paragraphe 2, est complété comme suit: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Pr>
                <w:b/>
                <w:i/>
              </w:rPr>
              <w:t>«</w:t>
            </w:r>
            <w:r w:rsidR="002F2A46" w:rsidRPr="00421CE3">
              <w:rPr>
                <w:b/>
                <w:i/>
              </w:rPr>
              <w:t>w bis) plantes médicinales, partie XXIV;</w:t>
            </w:r>
            <w:r>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Il n’apparaît actuellement pas clairement si les plantes médicinales relèvent ou non du champ d’application de la règlementation relative à l’OCM unique. Or, il s’agit d’un secteur agricole important, et nous devons donc veiller à ce que le marché des plantes médicinales relève du champ d’application des mesures de marché.</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203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-1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 bis)</w:t>
            </w:r>
            <w:r w:rsidRPr="00A53FF9">
              <w:rPr>
                <w:b/>
                <w:i/>
              </w:rPr>
              <w:tab/>
              <w:t>A la Partie I, l'article 1bis est ajouté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Article 1bis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Objectifs spécifiques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Sans préjudice à l'application des objectifs généraux et spécifiques définis aux articles 5 et 6 du règlement (UE) [Plans stratégiques relevant de la PAC] et en application de l'article 39 du Traité sur le fonctionnement de l'Union européenne, l'organisation commune des marchés des produits agricoles visée à l'article 1er contribue à la réalisation des objectifs spécifiques suivants :</w:t>
            </w:r>
            <w:r w:rsidRPr="00A53FF9">
              <w:t xml:space="preserve">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a) participer à la stabilisation des marchés agricoles et renforcer leur transparence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b) promouvoir le bon fonctionnement de la chaine d’approvisionnement agro-alimentaire et assurer un revenu équitable aux producteurs agricoles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c) améliorer la position des producteurs au sein de la chaine de valeur et promouvoir la concentration de l’offre agricole;</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d) contribuer à l'amélioration des conditions économiques de production et de commercialisation des produits agricoles et renforcer la qualité de la production agricole européenne;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introduire des objectifs à l'Organisation Commune des Marchés de la PAC qui s'appliqueraient sans préjudice de l'application des objectifs visés au sein du règlement UE [Plans stratégiques relevant de la PAC] et en ligne avec l'article 39 du TFUE</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204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-1 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2</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 ter)</w:t>
            </w:r>
            <w:r w:rsidRPr="00A53FF9">
              <w:rPr>
                <w:b/>
                <w:i/>
              </w:rPr>
              <w:tab/>
              <w:t>L'article 2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Le règlement (UE) </w:t>
            </w:r>
            <w:r w:rsidRPr="00A53FF9">
              <w:rPr>
                <w:b/>
                <w:i/>
              </w:rPr>
              <w:t>no 1306/2013</w:t>
            </w:r>
            <w:r w:rsidRPr="00A53FF9">
              <w:t xml:space="preserve"> et les dispositions adoptées en application dudit règlement s'appliquent aux mesures prévues par le présent règlement.</w:t>
            </w:r>
          </w:p>
        </w:tc>
        <w:tc>
          <w:tcPr>
            <w:tcW w:w="4876" w:type="dxa"/>
            <w:hideMark/>
          </w:tcPr>
          <w:p w:rsidR="002F2A46" w:rsidRPr="00A53FF9" w:rsidRDefault="002F2A46" w:rsidP="003A3553">
            <w:pPr>
              <w:pStyle w:val="Normal6"/>
              <w:rPr>
                <w:szCs w:val="24"/>
              </w:rPr>
            </w:pPr>
            <w:r w:rsidRPr="00A53FF9">
              <w:t xml:space="preserve">«Le règlement (UE) </w:t>
            </w:r>
            <w:r w:rsidRPr="00A53FF9">
              <w:rPr>
                <w:b/>
                <w:i/>
              </w:rPr>
              <w:t>[…/…] [règlement horizontal]</w:t>
            </w:r>
            <w:r w:rsidRPr="00A53FF9">
              <w:t xml:space="preserve"> et les dispositions adoptées en application dudit règlement s'appliquent aux mesures prévues par le présent règlement.</w:t>
            </w:r>
            <w:r w:rsidR="00CD03D8">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est juste une modification technique liée à la réforme en cours du règlement Horizontal de la PAC.</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205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 Maria Heubuch</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-1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(-1)</w:t>
            </w:r>
            <w:r w:rsidRPr="00421CE3">
              <w:rPr>
                <w:b/>
                <w:i/>
              </w:rPr>
              <w:tab/>
              <w:t>dans la partie I, l’article 2 bis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«Article 2 bis</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Cohérence des politiques au service du développement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En vertu de l’article 208 du traité FUE, les objectifs de coopération au développement, y compris ceux approuvés dans le cadre des Nations unies et d’autres organisations internationales, sont pris en considération dans la mise en œuvre du présent règlement. Les mesures prises au titre du présent règlement ne compromettent pas la capacité de production alimentaire ni la sécurité alimentaire à long terme de pays en développement, notamment des pays les moins avancés.»;</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L’article 208 du traité FUE dispose que toutes les politiques susceptibles d’affecter les pays en développement doivent tenir compte des objectifs de la coopération au développement. Or, parmi les grands objectifs de l’Union en la matière figurent précisément la promotion du développement de l’agriculture dans les pays en développement et l’amélioration de la sécurité alimentaire dans le monde. La politique agricole de l’Union a un impact externe du fait, en particulier, de l’influence qu’elle exerce sur les échanges agricoles. Le principe de cohérence des politiques au service du développement exige que les répercussions potentielles sur les marchés agricoles locaux et les producteurs locaux dans les pays en développement soient surveillées et, dans la mesure du possible, évitées.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206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1 – sous-point b – partie introductive</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3</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t>(b)</w:t>
            </w:r>
            <w:r w:rsidRPr="00393A53">
              <w:tab/>
            </w:r>
            <w:r w:rsidRPr="00393A53">
              <w:rPr>
                <w:b/>
                <w:i/>
              </w:rPr>
              <w:t>les paragraphes 3 et 4 sont remplacés</w:t>
            </w:r>
            <w:r w:rsidRPr="00393A53">
              <w:t xml:space="preserve"> par le texte suivant:</w:t>
            </w:r>
          </w:p>
        </w:tc>
        <w:tc>
          <w:tcPr>
            <w:tcW w:w="4876" w:type="dxa"/>
            <w:hideMark/>
          </w:tcPr>
          <w:p w:rsidR="002F2A46" w:rsidRPr="00393A53" w:rsidRDefault="002F2A46" w:rsidP="003A3553">
            <w:pPr>
              <w:pStyle w:val="Normal6"/>
              <w:rPr>
                <w:noProof/>
                <w:szCs w:val="24"/>
              </w:rPr>
            </w:pPr>
            <w:r w:rsidRPr="00393A53">
              <w:t>(b)</w:t>
            </w:r>
            <w:r w:rsidRPr="00393A53">
              <w:tab/>
            </w:r>
            <w:r w:rsidRPr="00393A53">
              <w:rPr>
                <w:b/>
                <w:i/>
              </w:rPr>
              <w:t>le paragraphe 3 est remplacé</w:t>
            </w:r>
            <w:r w:rsidRPr="00393A53">
              <w:t xml:space="preserve"> par le texte suivant:</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207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1 – sous-point b</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3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La Commission est habilitée à adopter des actes délégués conformément à l’article 227 en vue de modifier les définitions relatives aux secteurs figurant à l’annexe II, dans la mesure nécessaire pour actualiser les définitions en fonction de l’évolution du marché.</w:t>
            </w:r>
          </w:p>
        </w:tc>
        <w:tc>
          <w:tcPr>
            <w:tcW w:w="4876" w:type="dxa"/>
            <w:hideMark/>
          </w:tcPr>
          <w:p w:rsidR="002F2A46" w:rsidRPr="00393A53" w:rsidRDefault="002F2A46" w:rsidP="003A3553">
            <w:pPr>
              <w:pStyle w:val="Normal6"/>
              <w:rPr>
                <w:noProof/>
                <w:szCs w:val="24"/>
              </w:rPr>
            </w:pPr>
            <w:r w:rsidRPr="00393A53">
              <w:rPr>
                <w:b/>
                <w:i/>
              </w:rPr>
              <w:t>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La modification proposée confère à la CE des compétences excessives en ce qui concerne l’élaboration de définitions par voie d’actes délégués dans le cadre de l’application du règlement (UE) n</w:t>
      </w:r>
      <w:r>
        <w:rPr>
          <w:vertAlign w:val="superscript"/>
        </w:rPr>
        <w:t>o</w:t>
      </w:r>
      <w:r>
        <w:t xml:space="preserve"> 1308/2013. Les définitions doivent continuer à être établies par voie de règlements du Parlement européen et du Conseil.</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208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Beata Gosiewska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1 – sous-point b</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3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La Commission est habilitée à adopter des actes délégués conformément à l’article 227 en vue de modifier les définitions relatives aux secteurs figurant à l’annexe II, dans la mesure nécessaire pour actualiser les définitions en fonction de l’évolution du marché.</w:t>
            </w:r>
          </w:p>
        </w:tc>
        <w:tc>
          <w:tcPr>
            <w:tcW w:w="4876" w:type="dxa"/>
            <w:hideMark/>
          </w:tcPr>
          <w:p w:rsidR="002F2A46" w:rsidRPr="00393A53" w:rsidRDefault="002F2A46" w:rsidP="003A3553">
            <w:pPr>
              <w:pStyle w:val="Normal6"/>
              <w:rPr>
                <w:noProof/>
                <w:szCs w:val="24"/>
              </w:rPr>
            </w:pPr>
            <w:r w:rsidRPr="00393A53">
              <w:rPr>
                <w:b/>
                <w:i/>
              </w:rPr>
              <w:t>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La modification proposée confère à la CE des pouvoirs excessifs pour établir des définitions.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209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1 – sous-point b</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3 – paragraphe 4</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La Commission est habilitée à adopter des actes délégués conformément à l’article 227 en vue de </w:t>
            </w:r>
            <w:r w:rsidRPr="00A53FF9">
              <w:rPr>
                <w:b/>
                <w:i/>
              </w:rPr>
              <w:t>modifier</w:t>
            </w:r>
            <w:r w:rsidRPr="00A53FF9">
              <w:t xml:space="preserve"> les définitions relatives aux secteurs figurant à l’annexe II, </w:t>
            </w:r>
            <w:r w:rsidRPr="00A53FF9">
              <w:rPr>
                <w:b/>
                <w:i/>
              </w:rPr>
              <w:t>dans la mesure nécessaire pour actualiser les définitions en fonction de l’évolution du marché</w:t>
            </w:r>
            <w:r w:rsidRPr="00A53FF9">
              <w:t>.</w:t>
            </w:r>
          </w:p>
        </w:tc>
        <w:tc>
          <w:tcPr>
            <w:tcW w:w="4876" w:type="dxa"/>
            <w:hideMark/>
          </w:tcPr>
          <w:p w:rsidR="002F2A46" w:rsidRPr="00A53FF9" w:rsidRDefault="002F2A46" w:rsidP="003A3553">
            <w:pPr>
              <w:pStyle w:val="Normal6"/>
              <w:rPr>
                <w:szCs w:val="24"/>
              </w:rPr>
            </w:pPr>
            <w:r w:rsidRPr="00A53FF9">
              <w:t xml:space="preserve">La Commission est habilitée à adopter des actes délégués conformément à l’article 227 en vue de </w:t>
            </w:r>
            <w:r w:rsidRPr="00A53FF9">
              <w:rPr>
                <w:b/>
                <w:i/>
              </w:rPr>
              <w:t>mettre à jour, en fonction l'évolution du marché,</w:t>
            </w:r>
            <w:r w:rsidRPr="00A53FF9">
              <w:t xml:space="preserve"> les définitions relatives aux secteurs figurant à l’annexe II, </w:t>
            </w:r>
            <w:r w:rsidRPr="00A53FF9">
              <w:rPr>
                <w:b/>
                <w:i/>
              </w:rPr>
              <w:t>sans en créer de nouvelles</w:t>
            </w:r>
            <w:r w:rsidRPr="00A53FF9">
              <w:t>.</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clarifier que l'habilitation de pouvoir a pour objet la mise en jour des définitions dans la mesure du possible en fonction de l'évolution du marché.</w:t>
      </w:r>
    </w:p>
    <w:p w:rsidR="002F2A46" w:rsidRPr="00A53FF9" w:rsidRDefault="002F2A46" w:rsidP="002F2A46">
      <w:r w:rsidRPr="00A53FF9">
        <w:rPr>
          <w:rStyle w:val="HideTWBExt"/>
        </w:rPr>
        <w:t>&lt;/Amend&gt;</w:t>
      </w:r>
    </w:p>
    <w:p w:rsidR="002F2A46" w:rsidRPr="00657CF9" w:rsidRDefault="002F2A46" w:rsidP="002F2A46">
      <w:pPr>
        <w:pStyle w:val="AMNumberTabs"/>
        <w:keepNext/>
        <w:rPr>
          <w:noProof/>
          <w:lang w:val="it-IT"/>
        </w:rPr>
      </w:pPr>
      <w:r w:rsidRPr="00657CF9">
        <w:rPr>
          <w:rStyle w:val="HideTWBExt"/>
          <w:b w:val="0"/>
          <w:lang w:val="it-IT"/>
        </w:rPr>
        <w:t>&lt;Amend&gt;</w:t>
      </w:r>
      <w:r w:rsidRPr="00657CF9">
        <w:rPr>
          <w:lang w:val="it-IT"/>
        </w:rPr>
        <w:t>Amendement</w:t>
      </w:r>
      <w:r w:rsidRPr="00657CF9">
        <w:rPr>
          <w:lang w:val="it-IT"/>
        </w:rPr>
        <w:tab/>
      </w:r>
      <w:r w:rsidRPr="00657CF9">
        <w:rPr>
          <w:lang w:val="it-IT"/>
        </w:rPr>
        <w:tab/>
      </w:r>
      <w:r w:rsidRPr="00657CF9">
        <w:rPr>
          <w:rStyle w:val="HideTWBExt"/>
          <w:b w:val="0"/>
          <w:lang w:val="it-IT"/>
        </w:rPr>
        <w:t>&lt;NumAm&gt;</w:t>
      </w:r>
      <w:r w:rsidRPr="00657CF9">
        <w:rPr>
          <w:lang w:val="it-IT"/>
        </w:rPr>
        <w:t>210</w:t>
      </w:r>
      <w:r w:rsidRPr="00657CF9">
        <w:rPr>
          <w:rStyle w:val="HideTWBExt"/>
          <w:b w:val="0"/>
          <w:lang w:val="it-IT"/>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Mara Bizzotto, Angelo Ciocca</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rPr>
                <w:b/>
                <w:i/>
              </w:rPr>
              <w:t>(3)</w:t>
            </w:r>
            <w:r w:rsidRPr="000A2FD1">
              <w:rPr>
                <w:b/>
                <w:i/>
              </w:rPr>
              <w:tab/>
              <w:t>l’article 6 est supprimé;</w:t>
            </w:r>
          </w:p>
        </w:tc>
        <w:tc>
          <w:tcPr>
            <w:tcW w:w="4876" w:type="dxa"/>
            <w:hideMark/>
          </w:tcPr>
          <w:p w:rsidR="002F2A46" w:rsidRPr="000A2FD1" w:rsidRDefault="002F2A46" w:rsidP="003A3553">
            <w:pPr>
              <w:pStyle w:val="Normal6"/>
              <w:rPr>
                <w:noProof/>
                <w:szCs w:val="24"/>
              </w:rPr>
            </w:pPr>
            <w:r w:rsidRPr="000A2FD1">
              <w:rPr>
                <w:b/>
                <w:i/>
              </w:rPr>
              <w:t>supprimé</w:t>
            </w: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pStyle w:val="CrossRef"/>
        <w:rPr>
          <w:noProof/>
        </w:rPr>
      </w:pPr>
      <w:r>
        <w:t>(https://eur-lex.europa.eu/legal-content/FR/TXT/HTML/?uri=CELEX:02013R1308-20180101&amp;qid=1544002681050&amp;from=FR)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211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3)</w:t>
            </w:r>
            <w:r w:rsidRPr="00094D6B">
              <w:rPr>
                <w:b/>
                <w:i/>
              </w:rPr>
              <w:tab/>
              <w:t>l’article 6 est supprimé;</w:t>
            </w:r>
          </w:p>
        </w:tc>
        <w:tc>
          <w:tcPr>
            <w:tcW w:w="4876" w:type="dxa"/>
            <w:hideMark/>
          </w:tcPr>
          <w:p w:rsidR="002F2A46" w:rsidRPr="00094D6B" w:rsidRDefault="002F2A46" w:rsidP="003A3553">
            <w:pPr>
              <w:pStyle w:val="Normal6"/>
              <w:rPr>
                <w:noProof/>
                <w:szCs w:val="24"/>
              </w:rPr>
            </w:pPr>
            <w:r w:rsidRPr="00094D6B">
              <w:rPr>
                <w:b/>
                <w:i/>
              </w:rPr>
              <w:t>supprimé</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212</w:t>
      </w:r>
      <w:r>
        <w:rPr>
          <w:rStyle w:val="HideTWBExt"/>
          <w:b w:val="0"/>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Esteban González Pons, Ramón Luis Valcárcel Siso, Gabriel Mato</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3)</w:t>
            </w:r>
            <w:r w:rsidRPr="00094D6B">
              <w:rPr>
                <w:b/>
                <w:i/>
              </w:rPr>
              <w:tab/>
              <w:t>l’article 6 est supprimé;</w:t>
            </w:r>
          </w:p>
        </w:tc>
        <w:tc>
          <w:tcPr>
            <w:tcW w:w="4876" w:type="dxa"/>
            <w:hideMark/>
          </w:tcPr>
          <w:p w:rsidR="002F2A46" w:rsidRPr="00094D6B" w:rsidRDefault="002F2A46" w:rsidP="003A3553">
            <w:pPr>
              <w:pStyle w:val="Normal6"/>
              <w:rPr>
                <w:noProof/>
                <w:szCs w:val="24"/>
              </w:rPr>
            </w:pPr>
            <w:r w:rsidRPr="00094D6B">
              <w:rPr>
                <w:b/>
                <w:i/>
              </w:rPr>
              <w:t>supprimé</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Il est nécessaire de maintenir les campagnes de commercialisation, surtout dans les secteurs comme celui du sucre, où l’établissement d'une seule campagne au niveau européen clarifie les informations sur le marché.</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A2FD1">
        <w:t>Amendement</w:t>
      </w:r>
      <w:r w:rsidRPr="000A2FD1">
        <w:tab/>
      </w:r>
      <w:r w:rsidRPr="000A2FD1">
        <w:tab/>
      </w:r>
      <w:r>
        <w:rPr>
          <w:rStyle w:val="HideTWBExt"/>
          <w:b w:val="0"/>
        </w:rPr>
        <w:t>&lt;NumAm&gt;</w:t>
      </w:r>
      <w:r w:rsidRPr="000A2FD1">
        <w:t>213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A2FD1">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rPr>
                <w:b/>
                <w:i/>
              </w:rPr>
              <w:t>(3)</w:t>
            </w:r>
            <w:r w:rsidRPr="000A2FD1">
              <w:rPr>
                <w:b/>
                <w:i/>
              </w:rPr>
              <w:tab/>
              <w:t>l’article 6 est supprimé;</w:t>
            </w:r>
          </w:p>
        </w:tc>
        <w:tc>
          <w:tcPr>
            <w:tcW w:w="4876" w:type="dxa"/>
            <w:hideMark/>
          </w:tcPr>
          <w:p w:rsidR="002F2A46" w:rsidRPr="000A2FD1" w:rsidRDefault="002F2A46" w:rsidP="003A3553">
            <w:pPr>
              <w:pStyle w:val="Normal6"/>
              <w:rPr>
                <w:noProof/>
                <w:szCs w:val="24"/>
              </w:rPr>
            </w:pPr>
            <w:r w:rsidRPr="000A2FD1">
              <w:rPr>
                <w:b/>
                <w:i/>
              </w:rPr>
              <w:t>supprimé</w:t>
            </w: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214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(3)</w:t>
            </w:r>
            <w:r w:rsidRPr="00421CE3">
              <w:rPr>
                <w:b/>
                <w:i/>
              </w:rPr>
              <w:tab/>
              <w:t>l’article 6 est supprimé;</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215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(3)</w:t>
            </w:r>
            <w:r w:rsidRPr="00421CE3">
              <w:rPr>
                <w:b/>
                <w:i/>
              </w:rPr>
              <w:tab/>
              <w:t>l’article 6 est supprimé;</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Je ne comprends pas pour quelle raison l’article 6 du règlement relatif à l’OCM unique devrait être supprimé. La définition des campagnes de commercialisation doit être conservée.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216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(3)</w:t>
            </w:r>
            <w:r w:rsidRPr="00393A53">
              <w:rPr>
                <w:b/>
                <w:i/>
              </w:rPr>
              <w:tab/>
              <w:t>l’article 6 est supprimé;</w:t>
            </w:r>
          </w:p>
        </w:tc>
        <w:tc>
          <w:tcPr>
            <w:tcW w:w="4876" w:type="dxa"/>
            <w:hideMark/>
          </w:tcPr>
          <w:p w:rsidR="002F2A46" w:rsidRPr="00393A53" w:rsidRDefault="002F2A46" w:rsidP="003A3553">
            <w:pPr>
              <w:pStyle w:val="Normal6"/>
              <w:rPr>
                <w:noProof/>
                <w:szCs w:val="24"/>
              </w:rPr>
            </w:pPr>
            <w:r w:rsidRPr="00393A53">
              <w:rPr>
                <w:b/>
                <w:i/>
              </w:rPr>
              <w:t>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C02763" w:rsidRDefault="002F2A46" w:rsidP="002F2A46">
      <w:pPr>
        <w:pStyle w:val="Normal12Italic"/>
        <w:rPr>
          <w:lang w:val="pl-PL"/>
        </w:rPr>
      </w:pPr>
      <w:r w:rsidRPr="00C02763">
        <w:rPr>
          <w:lang w:val="pl-PL"/>
        </w:rPr>
        <w:t>Ze względu na istniejącą sprawozdawczość na rynkach rolnych nie należy usuwać przepisów dotyczących określenia lat gospodarczych. Informacje przekazywane do Komisji w systemie ISAMM, zgodnie z rozporządzeniem wykonawczym Komisji (UE) 2017/1185), które są bardzo istotne z punktu widzenia transparentności rynków rolnych i w celu odpowiedniej ich analizy, również odnoszą się do lat gospodarczych zdefiniowanych w rozporządzeniu 1308/2013.  Bilanse krajowe również powinny być opracowywane w ramach całej UE w odniesieniu do lat gospodarczych zdefiniowanych w ten sam sposób, aby istniała możliwość ich porównania.</w:t>
      </w:r>
    </w:p>
    <w:p w:rsidR="002F2A46" w:rsidRPr="00C02763" w:rsidRDefault="002F2A46" w:rsidP="002F2A46">
      <w:pPr>
        <w:rPr>
          <w:noProof/>
          <w:lang w:val="pl-PL"/>
        </w:rPr>
      </w:pPr>
      <w:r w:rsidRPr="00C02763">
        <w:rPr>
          <w:rStyle w:val="HideTWBExt"/>
          <w:lang w:val="pl-PL"/>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217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Beata Gosiewska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3</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(3)</w:t>
            </w:r>
            <w:r w:rsidRPr="00393A53">
              <w:rPr>
                <w:b/>
                <w:i/>
              </w:rPr>
              <w:tab/>
              <w:t>l’article 6 est supprimé;</w:t>
            </w:r>
          </w:p>
        </w:tc>
        <w:tc>
          <w:tcPr>
            <w:tcW w:w="4876" w:type="dxa"/>
            <w:hideMark/>
          </w:tcPr>
          <w:p w:rsidR="002F2A46" w:rsidRPr="00393A53" w:rsidRDefault="002F2A46" w:rsidP="003A3553">
            <w:pPr>
              <w:pStyle w:val="Normal6"/>
              <w:rPr>
                <w:noProof/>
                <w:szCs w:val="24"/>
              </w:rPr>
            </w:pPr>
            <w:r w:rsidRPr="00393A53">
              <w:rPr>
                <w:b/>
                <w:i/>
              </w:rPr>
              <w:t>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218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l’article 6 est remplacé par le texte suivant: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Article 6</w:t>
            </w:r>
          </w:p>
        </w:tc>
        <w:tc>
          <w:tcPr>
            <w:tcW w:w="4876" w:type="dxa"/>
            <w:hideMark/>
          </w:tcPr>
          <w:p w:rsidR="002F2A46" w:rsidRPr="00421CE3" w:rsidRDefault="002F2A46" w:rsidP="003A3553">
            <w:pPr>
              <w:pStyle w:val="Normal6"/>
              <w:rPr>
                <w:noProof/>
                <w:szCs w:val="24"/>
              </w:rPr>
            </w:pPr>
            <w:r w:rsidRPr="00421CE3">
              <w:rPr>
                <w:b/>
                <w:i/>
              </w:rPr>
              <w:t>«</w:t>
            </w:r>
            <w:r w:rsidRPr="00421CE3">
              <w:t>Article 6</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Campagnes de commercialisation</w:t>
            </w:r>
          </w:p>
        </w:tc>
        <w:tc>
          <w:tcPr>
            <w:tcW w:w="4876" w:type="dxa"/>
            <w:hideMark/>
          </w:tcPr>
          <w:p w:rsidR="002F2A46" w:rsidRPr="00421CE3" w:rsidRDefault="002F2A46" w:rsidP="003A3553">
            <w:pPr>
              <w:pStyle w:val="Normal6"/>
              <w:rPr>
                <w:noProof/>
                <w:szCs w:val="24"/>
              </w:rPr>
            </w:pPr>
            <w:r w:rsidRPr="00421CE3">
              <w:t>Campagnes de commercialisation</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Les campagnes de commercialisation suivantes sont établies:</w:t>
            </w:r>
          </w:p>
        </w:tc>
        <w:tc>
          <w:tcPr>
            <w:tcW w:w="4876" w:type="dxa"/>
            <w:hideMark/>
          </w:tcPr>
          <w:p w:rsidR="002F2A46" w:rsidRPr="00421CE3" w:rsidRDefault="002F2A46" w:rsidP="003A3553">
            <w:pPr>
              <w:pStyle w:val="Normal6"/>
              <w:rPr>
                <w:noProof/>
                <w:szCs w:val="24"/>
              </w:rPr>
            </w:pPr>
            <w:r w:rsidRPr="00421CE3">
              <w:t>Les campagnes de commercialisation suivantes sont établies:</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a) </w:t>
            </w:r>
            <w:r w:rsidRPr="00421CE3">
              <w:rPr>
                <w:b/>
                <w:i/>
              </w:rPr>
              <w:t>du 1</w:t>
            </w:r>
            <w:r w:rsidRPr="00421CE3">
              <w:rPr>
                <w:b/>
                <w:i/>
                <w:vertAlign w:val="superscript"/>
              </w:rPr>
              <w:t>er</w:t>
            </w:r>
            <w:r w:rsidRPr="00421CE3">
              <w:rPr>
                <w:b/>
                <w:i/>
              </w:rPr>
              <w:t> janvier au 31 décembre d’une année donnée pour les secteurs des fruits et légumes, des fruits et légumes transformés et de la banane</w:t>
            </w:r>
            <w:r w:rsidRPr="00421CE3">
              <w:t>;</w:t>
            </w:r>
          </w:p>
        </w:tc>
        <w:tc>
          <w:tcPr>
            <w:tcW w:w="4876" w:type="dxa"/>
            <w:hideMark/>
          </w:tcPr>
          <w:p w:rsidR="002F2A46" w:rsidRPr="00421CE3" w:rsidRDefault="002F2A46" w:rsidP="003A3553">
            <w:pPr>
              <w:pStyle w:val="Normal6"/>
              <w:rPr>
                <w:noProof/>
                <w:szCs w:val="24"/>
              </w:rPr>
            </w:pPr>
            <w:r w:rsidRPr="00421CE3">
              <w:t>a) du 1</w:t>
            </w:r>
            <w:r w:rsidRPr="00421CE3">
              <w:rPr>
                <w:vertAlign w:val="superscript"/>
              </w:rPr>
              <w:t>er</w:t>
            </w:r>
            <w:r w:rsidRPr="00421CE3">
              <w:t> août au 31 juillet de l’année suivante pour le secteur du vin.</w:t>
            </w:r>
            <w:r w:rsidR="00CD03D8" w:rsidRPr="00421CE3">
              <w:rPr>
                <w:b/>
                <w:i/>
              </w:rPr>
              <w: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b) du 1</w:t>
            </w:r>
            <w:r w:rsidRPr="00421CE3">
              <w:rPr>
                <w:b/>
                <w:i/>
                <w:vertAlign w:val="superscript"/>
              </w:rPr>
              <w:t>er</w:t>
            </w:r>
            <w:r w:rsidRPr="00421CE3">
              <w:rPr>
                <w:b/>
                <w:i/>
              </w:rPr>
              <w:t> avril au 31 mars de l’année suivante pour les secteurs des fourrages séchés et du ver à soie;</w:t>
            </w: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c) du 1</w:t>
            </w:r>
            <w:r w:rsidRPr="00421CE3">
              <w:rPr>
                <w:b/>
                <w:i/>
                <w:vertAlign w:val="superscript"/>
              </w:rPr>
              <w:t>er</w:t>
            </w:r>
            <w:r w:rsidRPr="00421CE3">
              <w:rPr>
                <w:b/>
                <w:i/>
              </w:rPr>
              <w:t> juillet au 30 juin de l’année suivante pour:</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 le secteur des céréales;</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ii) le secteur des semences;</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iii) le secteur de l’huile d’olive et des olives de table;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iv) le secteur du lin et du chanvre;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v) le secteur du lait et des produits laitiers;</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 xml:space="preserve">d) </w:t>
            </w:r>
            <w:r w:rsidRPr="00421CE3">
              <w:t>du 1</w:t>
            </w:r>
            <w:r w:rsidRPr="00421CE3">
              <w:rPr>
                <w:vertAlign w:val="superscript"/>
              </w:rPr>
              <w:t>er</w:t>
            </w:r>
            <w:r w:rsidRPr="00421CE3">
              <w:t> août au 31 juillet de l’année suivante pour le secteur du vin;</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e) du 1</w:t>
            </w:r>
            <w:r w:rsidRPr="00421CE3">
              <w:rPr>
                <w:b/>
                <w:i/>
                <w:vertAlign w:val="superscript"/>
              </w:rPr>
              <w:t>er</w:t>
            </w:r>
            <w:r w:rsidRPr="00421CE3">
              <w:rPr>
                <w:b/>
                <w:i/>
              </w:rPr>
              <w:t xml:space="preserve"> septembre au 31 août de l’année suivante pour le secteur du riz;</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f) du 1</w:t>
            </w:r>
            <w:r w:rsidRPr="00421CE3">
              <w:rPr>
                <w:b/>
                <w:i/>
                <w:vertAlign w:val="superscript"/>
              </w:rPr>
              <w:t>er</w:t>
            </w:r>
            <w:r w:rsidRPr="00421CE3">
              <w:rPr>
                <w:b/>
                <w:i/>
              </w:rPr>
              <w:t> octobre au 30 septembre de l’année suivante pour le secteur du sucre</w:t>
            </w:r>
            <w:r w:rsidRPr="00421CE3">
              <w:t>.</w:t>
            </w:r>
          </w:p>
        </w:tc>
        <w:tc>
          <w:tcPr>
            <w:tcW w:w="4876" w:type="dxa"/>
          </w:tcPr>
          <w:p w:rsidR="002F2A46" w:rsidRPr="00421CE3" w:rsidRDefault="002F2A46" w:rsidP="003A3553">
            <w:pPr>
              <w:pStyle w:val="Normal6"/>
              <w:rPr>
                <w:noProof/>
                <w:szCs w:val="24"/>
              </w:rPr>
            </w:pP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(https://eur-lex.europa.eu/legal-content/FR/TXT/PDF/?uri=CELEX:32013R1308&amp;qid=1543596647377&amp;from=FR)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219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bis)</w:t>
            </w:r>
            <w:r w:rsidRPr="00094D6B">
              <w:rPr>
                <w:b/>
                <w:i/>
              </w:rPr>
              <w:tab/>
              <w:t>l’article 6 est modifié comme suit: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Les</w:t>
            </w:r>
            <w:r w:rsidRPr="00094D6B">
              <w:t xml:space="preserve"> campagnes de commercialisation suivantes sont établies:</w:t>
            </w:r>
          </w:p>
        </w:tc>
        <w:tc>
          <w:tcPr>
            <w:tcW w:w="4876" w:type="dxa"/>
            <w:hideMark/>
          </w:tcPr>
          <w:p w:rsidR="002F2A46" w:rsidRPr="00094D6B" w:rsidRDefault="002F2A46" w:rsidP="003A3553">
            <w:pPr>
              <w:pStyle w:val="Normal6"/>
              <w:rPr>
                <w:noProof/>
                <w:szCs w:val="24"/>
              </w:rPr>
            </w:pPr>
            <w:r w:rsidRPr="00094D6B">
              <w:rPr>
                <w:b/>
                <w:i/>
              </w:rPr>
              <w:t>«Les</w:t>
            </w:r>
            <w:r w:rsidRPr="00094D6B">
              <w:t xml:space="preserve"> campagnes de commercialisation suivantes sont établies:</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a) du 1</w:t>
            </w:r>
            <w:r w:rsidRPr="00094D6B">
              <w:rPr>
                <w:vertAlign w:val="superscript"/>
              </w:rPr>
              <w:t>er</w:t>
            </w:r>
            <w:r w:rsidRPr="00094D6B">
              <w:t xml:space="preserve"> janvier au 31 décembre d'une année donnée pour les secteurs des fruits et légumes, des fruits et légumes transformés et de la banane;</w:t>
            </w:r>
          </w:p>
        </w:tc>
        <w:tc>
          <w:tcPr>
            <w:tcW w:w="4876" w:type="dxa"/>
            <w:hideMark/>
          </w:tcPr>
          <w:p w:rsidR="002F2A46" w:rsidRPr="00094D6B" w:rsidRDefault="002F2A46" w:rsidP="003A3553">
            <w:pPr>
              <w:pStyle w:val="Normal6"/>
              <w:rPr>
                <w:noProof/>
                <w:szCs w:val="24"/>
              </w:rPr>
            </w:pPr>
            <w:r w:rsidRPr="00094D6B">
              <w:t>a) du 1</w:t>
            </w:r>
            <w:r w:rsidRPr="00094D6B">
              <w:rPr>
                <w:vertAlign w:val="superscript"/>
              </w:rPr>
              <w:t>er</w:t>
            </w:r>
            <w:r w:rsidRPr="00094D6B">
              <w:t xml:space="preserve"> janvier au 31 décembre d'une année donnée pour les secteurs des fruits et légumes, des fruits et légumes transformés et de la banane;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b) du 1</w:t>
            </w:r>
            <w:r w:rsidRPr="00094D6B">
              <w:rPr>
                <w:vertAlign w:val="superscript"/>
              </w:rPr>
              <w:t>er</w:t>
            </w:r>
            <w:r w:rsidRPr="00094D6B">
              <w:t xml:space="preserve"> avril au 31 mars de l'année suivante pour les secteurs des fourrages séchés et du ver à soie;</w:t>
            </w:r>
          </w:p>
        </w:tc>
        <w:tc>
          <w:tcPr>
            <w:tcW w:w="4876" w:type="dxa"/>
            <w:hideMark/>
          </w:tcPr>
          <w:p w:rsidR="002F2A46" w:rsidRPr="00094D6B" w:rsidRDefault="002F2A46" w:rsidP="003A3553">
            <w:pPr>
              <w:pStyle w:val="Normal6"/>
              <w:rPr>
                <w:noProof/>
                <w:szCs w:val="24"/>
              </w:rPr>
            </w:pPr>
            <w:r w:rsidRPr="00094D6B">
              <w:t>b) du 1</w:t>
            </w:r>
            <w:r w:rsidRPr="00094D6B">
              <w:rPr>
                <w:vertAlign w:val="superscript"/>
              </w:rPr>
              <w:t>er</w:t>
            </w:r>
            <w:r w:rsidRPr="00094D6B">
              <w:t xml:space="preserve"> avril au 31 mars de l'année suivante pour les secteurs des fourrages séchés et du ver à soie;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c) du 1</w:t>
            </w:r>
            <w:r w:rsidRPr="00094D6B">
              <w:rPr>
                <w:vertAlign w:val="superscript"/>
              </w:rPr>
              <w:t>er</w:t>
            </w:r>
            <w:r w:rsidRPr="00094D6B">
              <w:t xml:space="preserve"> juillet au 30 juin de l'année suivante pour:</w:t>
            </w:r>
          </w:p>
        </w:tc>
        <w:tc>
          <w:tcPr>
            <w:tcW w:w="4876" w:type="dxa"/>
            <w:hideMark/>
          </w:tcPr>
          <w:p w:rsidR="002F2A46" w:rsidRPr="00094D6B" w:rsidRDefault="002F2A46" w:rsidP="003A3553">
            <w:pPr>
              <w:pStyle w:val="Normal6"/>
              <w:rPr>
                <w:noProof/>
                <w:szCs w:val="24"/>
              </w:rPr>
            </w:pPr>
            <w:r w:rsidRPr="00094D6B">
              <w:t>c) du 1</w:t>
            </w:r>
            <w:r w:rsidRPr="00094D6B">
              <w:rPr>
                <w:vertAlign w:val="superscript"/>
              </w:rPr>
              <w:t>er</w:t>
            </w:r>
            <w:r w:rsidRPr="00094D6B">
              <w:t xml:space="preserve"> juillet au 30 juin de l'année suivante pour:</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i) le secteur des céréales;</w:t>
            </w:r>
          </w:p>
        </w:tc>
        <w:tc>
          <w:tcPr>
            <w:tcW w:w="4876" w:type="dxa"/>
            <w:hideMark/>
          </w:tcPr>
          <w:p w:rsidR="002F2A46" w:rsidRPr="00094D6B" w:rsidRDefault="002F2A46" w:rsidP="003A3553">
            <w:pPr>
              <w:pStyle w:val="Normal6"/>
              <w:rPr>
                <w:noProof/>
                <w:szCs w:val="24"/>
              </w:rPr>
            </w:pPr>
            <w:r w:rsidRPr="00094D6B">
              <w:t>i) le secteur des céréales;</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ii) le secteur des semences;</w:t>
            </w:r>
          </w:p>
        </w:tc>
        <w:tc>
          <w:tcPr>
            <w:tcW w:w="4876" w:type="dxa"/>
            <w:hideMark/>
          </w:tcPr>
          <w:p w:rsidR="002F2A46" w:rsidRPr="00094D6B" w:rsidRDefault="002F2A46" w:rsidP="003A3553">
            <w:pPr>
              <w:pStyle w:val="Normal6"/>
              <w:rPr>
                <w:noProof/>
                <w:szCs w:val="24"/>
              </w:rPr>
            </w:pPr>
            <w:r w:rsidRPr="00094D6B">
              <w:t>ii) le secteur des semences;</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 xml:space="preserve">iii) le secteur </w:t>
            </w:r>
            <w:r w:rsidRPr="00094D6B">
              <w:rPr>
                <w:b/>
                <w:i/>
              </w:rPr>
              <w:t>de l'huile d'olive</w:t>
            </w:r>
            <w:r w:rsidRPr="00094D6B">
              <w:t xml:space="preserve"> et </w:t>
            </w:r>
            <w:r w:rsidRPr="00094D6B">
              <w:rPr>
                <w:b/>
                <w:i/>
              </w:rPr>
              <w:t>des olives de table</w:t>
            </w:r>
            <w:r w:rsidRPr="00094D6B">
              <w:t>;</w:t>
            </w:r>
          </w:p>
        </w:tc>
        <w:tc>
          <w:tcPr>
            <w:tcW w:w="4876" w:type="dxa"/>
            <w:hideMark/>
          </w:tcPr>
          <w:p w:rsidR="002F2A46" w:rsidRPr="00094D6B" w:rsidRDefault="002F2A46" w:rsidP="003A3553">
            <w:pPr>
              <w:pStyle w:val="Normal6"/>
              <w:rPr>
                <w:noProof/>
                <w:szCs w:val="24"/>
              </w:rPr>
            </w:pPr>
            <w:r w:rsidRPr="00094D6B">
              <w:t xml:space="preserve">iii) le secteur </w:t>
            </w:r>
            <w:r w:rsidRPr="00094D6B">
              <w:rPr>
                <w:b/>
                <w:i/>
              </w:rPr>
              <w:t>du lin</w:t>
            </w:r>
            <w:r w:rsidRPr="00094D6B">
              <w:t xml:space="preserve"> et </w:t>
            </w:r>
            <w:r w:rsidRPr="00094D6B">
              <w:rPr>
                <w:b/>
                <w:i/>
              </w:rPr>
              <w:t>du chanvre</w:t>
            </w:r>
            <w:r w:rsidRPr="00094D6B">
              <w: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iv)</w:t>
            </w:r>
            <w:r w:rsidRPr="00094D6B">
              <w:rPr>
                <w:b/>
                <w:i/>
              </w:rPr>
              <w:t xml:space="preserve"> </w:t>
            </w:r>
            <w:r w:rsidRPr="00094D6B">
              <w:t xml:space="preserve">le secteur du </w:t>
            </w:r>
            <w:r w:rsidRPr="00094D6B">
              <w:rPr>
                <w:b/>
                <w:i/>
              </w:rPr>
              <w:t>lin</w:t>
            </w:r>
            <w:r w:rsidRPr="00094D6B">
              <w:t xml:space="preserve"> et </w:t>
            </w:r>
            <w:r w:rsidRPr="00094D6B">
              <w:rPr>
                <w:b/>
                <w:i/>
              </w:rPr>
              <w:t>du chanvre</w:t>
            </w:r>
            <w:r w:rsidRPr="00094D6B">
              <w:t>;</w:t>
            </w:r>
          </w:p>
        </w:tc>
        <w:tc>
          <w:tcPr>
            <w:tcW w:w="4876" w:type="dxa"/>
            <w:hideMark/>
          </w:tcPr>
          <w:p w:rsidR="002F2A46" w:rsidRPr="00094D6B" w:rsidRDefault="002F2A46" w:rsidP="003A3553">
            <w:pPr>
              <w:pStyle w:val="Normal6"/>
              <w:rPr>
                <w:noProof/>
                <w:szCs w:val="24"/>
              </w:rPr>
            </w:pPr>
            <w:r w:rsidRPr="00094D6B">
              <w:t xml:space="preserve">iv) le secteur du </w:t>
            </w:r>
            <w:r w:rsidRPr="00094D6B">
              <w:rPr>
                <w:b/>
                <w:i/>
              </w:rPr>
              <w:t>lait</w:t>
            </w:r>
            <w:r w:rsidRPr="00094D6B">
              <w:t xml:space="preserve"> et </w:t>
            </w:r>
            <w:r w:rsidRPr="00094D6B">
              <w:rPr>
                <w:b/>
                <w:i/>
              </w:rPr>
              <w:t>des produits laitiers</w:t>
            </w:r>
            <w:r w:rsidRPr="00094D6B">
              <w: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v</w:t>
            </w:r>
            <w:r w:rsidRPr="00094D6B">
              <w:t xml:space="preserve">) </w:t>
            </w:r>
            <w:r w:rsidRPr="00094D6B">
              <w:rPr>
                <w:b/>
                <w:i/>
              </w:rPr>
              <w:t>le secteur du lait et des produits laitiers</w:t>
            </w:r>
            <w:r w:rsidRPr="00094D6B">
              <w:t>;</w:t>
            </w:r>
          </w:p>
        </w:tc>
        <w:tc>
          <w:tcPr>
            <w:tcW w:w="4876" w:type="dxa"/>
            <w:hideMark/>
          </w:tcPr>
          <w:p w:rsidR="002F2A46" w:rsidRPr="00094D6B" w:rsidRDefault="002F2A46" w:rsidP="003A3553">
            <w:pPr>
              <w:pStyle w:val="Normal6"/>
              <w:rPr>
                <w:noProof/>
                <w:szCs w:val="24"/>
              </w:rPr>
            </w:pPr>
            <w:r w:rsidRPr="00094D6B">
              <w:t xml:space="preserve">d) </w:t>
            </w:r>
            <w:r w:rsidRPr="00094D6B">
              <w:rPr>
                <w:b/>
                <w:i/>
              </w:rPr>
              <w:t>du 1</w:t>
            </w:r>
            <w:r w:rsidRPr="00094D6B">
              <w:rPr>
                <w:b/>
                <w:i/>
                <w:vertAlign w:val="superscript"/>
              </w:rPr>
              <w:t>er</w:t>
            </w:r>
            <w:r w:rsidRPr="00094D6B">
              <w:rPr>
                <w:b/>
                <w:i/>
              </w:rPr>
              <w:t xml:space="preserve"> août au 31 juillet de l'année suivante pour le secteur du vin</w:t>
            </w:r>
            <w:r w:rsidRPr="00094D6B">
              <w: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d) du 1</w:t>
            </w:r>
            <w:r w:rsidRPr="00094D6B">
              <w:rPr>
                <w:vertAlign w:val="superscript"/>
              </w:rPr>
              <w:t>er</w:t>
            </w:r>
            <w:r w:rsidRPr="00094D6B">
              <w:t xml:space="preserve"> </w:t>
            </w:r>
            <w:r w:rsidRPr="00094D6B">
              <w:rPr>
                <w:b/>
                <w:i/>
              </w:rPr>
              <w:t>août</w:t>
            </w:r>
            <w:r w:rsidRPr="00094D6B">
              <w:t xml:space="preserve"> au 31 </w:t>
            </w:r>
            <w:r w:rsidRPr="00094D6B">
              <w:rPr>
                <w:b/>
                <w:i/>
              </w:rPr>
              <w:t>juillet</w:t>
            </w:r>
            <w:r w:rsidRPr="00094D6B">
              <w:t xml:space="preserve"> de l'année suivante pour </w:t>
            </w:r>
            <w:r w:rsidRPr="00094D6B">
              <w:rPr>
                <w:b/>
                <w:i/>
              </w:rPr>
              <w:t>le secteur</w:t>
            </w:r>
            <w:r w:rsidRPr="00094D6B">
              <w:t xml:space="preserve"> du </w:t>
            </w:r>
            <w:r w:rsidRPr="00094D6B">
              <w:rPr>
                <w:b/>
                <w:i/>
              </w:rPr>
              <w:t>vin</w:t>
            </w:r>
            <w:r w:rsidRPr="00094D6B">
              <w:t>;</w:t>
            </w:r>
          </w:p>
        </w:tc>
        <w:tc>
          <w:tcPr>
            <w:tcW w:w="4876" w:type="dxa"/>
            <w:hideMark/>
          </w:tcPr>
          <w:p w:rsidR="002F2A46" w:rsidRPr="00094D6B" w:rsidRDefault="002F2A46" w:rsidP="003A3553">
            <w:pPr>
              <w:pStyle w:val="Normal6"/>
              <w:rPr>
                <w:noProof/>
                <w:szCs w:val="24"/>
              </w:rPr>
            </w:pPr>
            <w:r w:rsidRPr="00094D6B">
              <w:t>e) du 1</w:t>
            </w:r>
            <w:r w:rsidRPr="00094D6B">
              <w:rPr>
                <w:vertAlign w:val="superscript"/>
              </w:rPr>
              <w:t>er</w:t>
            </w:r>
            <w:r w:rsidRPr="00094D6B">
              <w:t xml:space="preserve"> </w:t>
            </w:r>
            <w:r w:rsidRPr="00094D6B">
              <w:rPr>
                <w:b/>
                <w:i/>
              </w:rPr>
              <w:t>septembre</w:t>
            </w:r>
            <w:r w:rsidRPr="00094D6B">
              <w:t xml:space="preserve"> au 31 </w:t>
            </w:r>
            <w:r w:rsidRPr="00094D6B">
              <w:rPr>
                <w:b/>
                <w:i/>
              </w:rPr>
              <w:t>août</w:t>
            </w:r>
            <w:r w:rsidRPr="00094D6B">
              <w:t xml:space="preserve"> de l'année suivante pour </w:t>
            </w:r>
            <w:r w:rsidRPr="00094D6B">
              <w:rPr>
                <w:b/>
                <w:i/>
              </w:rPr>
              <w:t>les secteurs</w:t>
            </w:r>
            <w:r w:rsidRPr="00094D6B">
              <w:t xml:space="preserve"> du </w:t>
            </w:r>
            <w:r w:rsidRPr="00094D6B">
              <w:rPr>
                <w:b/>
                <w:i/>
              </w:rPr>
              <w:t>riz et de l’olive de table</w:t>
            </w:r>
            <w:r w:rsidRPr="00094D6B">
              <w: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e) du 1</w:t>
            </w:r>
            <w:r w:rsidRPr="00094D6B">
              <w:rPr>
                <w:vertAlign w:val="superscript"/>
              </w:rPr>
              <w:t>er</w:t>
            </w:r>
            <w:r w:rsidRPr="00094D6B">
              <w:t xml:space="preserve"> </w:t>
            </w:r>
            <w:r w:rsidRPr="00094D6B">
              <w:rPr>
                <w:b/>
                <w:i/>
              </w:rPr>
              <w:t>septembre</w:t>
            </w:r>
            <w:r w:rsidRPr="00094D6B">
              <w:t xml:space="preserve"> au </w:t>
            </w:r>
            <w:r w:rsidRPr="00094D6B">
              <w:rPr>
                <w:b/>
                <w:i/>
              </w:rPr>
              <w:t>31 août</w:t>
            </w:r>
            <w:r w:rsidRPr="00094D6B">
              <w:t xml:space="preserve"> de l'année suivante pour </w:t>
            </w:r>
            <w:r w:rsidRPr="00094D6B">
              <w:rPr>
                <w:b/>
                <w:i/>
              </w:rPr>
              <w:t>le secteur</w:t>
            </w:r>
            <w:r w:rsidRPr="00094D6B">
              <w:t xml:space="preserve"> du </w:t>
            </w:r>
            <w:r w:rsidRPr="00094D6B">
              <w:rPr>
                <w:b/>
                <w:i/>
              </w:rPr>
              <w:t>riz;</w:t>
            </w:r>
          </w:p>
        </w:tc>
        <w:tc>
          <w:tcPr>
            <w:tcW w:w="4876" w:type="dxa"/>
            <w:hideMark/>
          </w:tcPr>
          <w:p w:rsidR="002F2A46" w:rsidRPr="00094D6B" w:rsidRDefault="002F2A46" w:rsidP="003A3553">
            <w:pPr>
              <w:pStyle w:val="Normal6"/>
              <w:rPr>
                <w:noProof/>
                <w:szCs w:val="24"/>
              </w:rPr>
            </w:pPr>
            <w:r w:rsidRPr="00094D6B">
              <w:t>f) du 1</w:t>
            </w:r>
            <w:r w:rsidRPr="00094D6B">
              <w:rPr>
                <w:vertAlign w:val="superscript"/>
              </w:rPr>
              <w:t>er</w:t>
            </w:r>
            <w:r w:rsidRPr="00094D6B">
              <w:t xml:space="preserve"> </w:t>
            </w:r>
            <w:r w:rsidRPr="00094D6B">
              <w:rPr>
                <w:b/>
                <w:i/>
              </w:rPr>
              <w:t>octobre</w:t>
            </w:r>
            <w:r w:rsidRPr="00094D6B">
              <w:t xml:space="preserve"> au </w:t>
            </w:r>
            <w:r w:rsidRPr="00094D6B">
              <w:rPr>
                <w:b/>
                <w:i/>
              </w:rPr>
              <w:t>30 septembre</w:t>
            </w:r>
            <w:r w:rsidRPr="00094D6B">
              <w:t xml:space="preserve"> de l'année suivante pour </w:t>
            </w:r>
            <w:r w:rsidRPr="00094D6B">
              <w:rPr>
                <w:b/>
                <w:i/>
              </w:rPr>
              <w:t>les secteurs</w:t>
            </w:r>
            <w:r w:rsidRPr="00094D6B">
              <w:t xml:space="preserve"> du </w:t>
            </w:r>
            <w:r w:rsidRPr="00094D6B">
              <w:rPr>
                <w:b/>
                <w:i/>
              </w:rPr>
              <w:t>sucre et de l’huile d’olive.»;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 xml:space="preserve">f) </w:t>
            </w:r>
            <w:r w:rsidRPr="00094D6B">
              <w:rPr>
                <w:b/>
                <w:i/>
              </w:rPr>
              <w:t>du 1</w:t>
            </w:r>
            <w:r w:rsidRPr="00094D6B">
              <w:rPr>
                <w:b/>
                <w:i/>
                <w:vertAlign w:val="superscript"/>
              </w:rPr>
              <w:t>er</w:t>
            </w:r>
            <w:r w:rsidRPr="00094D6B">
              <w:rPr>
                <w:b/>
                <w:i/>
              </w:rPr>
              <w:t xml:space="preserve"> octobre au 30 septembre de l'année suivante pour le secteur du sucre.</w:t>
            </w: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(https://eur-lex.europa.eu/legal-content/FR/TXT/HTML/?uri=CELEX:02013R1308-20180101&amp;qid=1544002681050&amp;from=FR)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Il ne faut pas supprimer les campagnes de commercialisation pour les secteurs où elle est utile pour l’aménagement des productions et la définition d'un cadre temporel dans lequel procéder au solde des stocks correspondant, comme c’est le cas dans le secteur du sucre, où la période de production varie d’un État membre à l’autre et pour lequel il est donc très utile d’établir une campagne unique au niveau européen, qui clarifie à ce niveau les informations relatives à la production, aux stocks, etc. Les campagnes pour l’huile d’olive et l’olive de table sont quant à elles adaptées à celles du Conseil oléicole international.</w:t>
      </w:r>
    </w:p>
    <w:p w:rsidR="002F2A46" w:rsidRPr="00A53FF9" w:rsidRDefault="002F2A46" w:rsidP="002F2A46">
      <w:pPr>
        <w:rPr>
          <w:noProof/>
        </w:rPr>
      </w:pPr>
      <w:r>
        <w:rPr>
          <w:rStyle w:val="HideTWBExt"/>
        </w:rPr>
        <w:t>&lt;/Amend&gt;</w:t>
      </w:r>
    </w:p>
    <w:p w:rsidR="002F2A46" w:rsidRPr="00CD03D8" w:rsidRDefault="002F2A46" w:rsidP="002F2A46">
      <w:pPr>
        <w:pStyle w:val="AMNumberTabs"/>
        <w:keepNext/>
        <w:rPr>
          <w:noProof/>
          <w:lang w:val="it-IT"/>
        </w:rPr>
      </w:pPr>
      <w:r w:rsidRPr="00CD03D8">
        <w:rPr>
          <w:rStyle w:val="HideTWBExt"/>
          <w:b w:val="0"/>
          <w:lang w:val="it-IT"/>
        </w:rPr>
        <w:t>&lt;Amend&gt;</w:t>
      </w:r>
      <w:r w:rsidRPr="00CD03D8">
        <w:rPr>
          <w:lang w:val="it-IT"/>
        </w:rPr>
        <w:t>Amendement</w:t>
      </w:r>
      <w:r w:rsidRPr="00CD03D8">
        <w:rPr>
          <w:lang w:val="it-IT"/>
        </w:rPr>
        <w:tab/>
      </w:r>
      <w:r w:rsidRPr="00CD03D8">
        <w:rPr>
          <w:lang w:val="it-IT"/>
        </w:rPr>
        <w:tab/>
      </w:r>
      <w:r w:rsidRPr="00CD03D8">
        <w:rPr>
          <w:rStyle w:val="HideTWBExt"/>
          <w:b w:val="0"/>
          <w:lang w:val="it-IT"/>
        </w:rPr>
        <w:t>&lt;NumAm&gt;</w:t>
      </w:r>
      <w:r w:rsidRPr="00CD03D8">
        <w:rPr>
          <w:lang w:val="it-IT"/>
        </w:rPr>
        <w:t>220</w:t>
      </w:r>
      <w:r w:rsidRPr="00CD03D8">
        <w:rPr>
          <w:rStyle w:val="HideTWBExt"/>
          <w:b w:val="0"/>
          <w:lang w:val="it-IT"/>
        </w:rPr>
        <w:t>&lt;/NumAm&gt;</w:t>
      </w:r>
    </w:p>
    <w:p w:rsidR="002F2A46" w:rsidRPr="00CD03D8" w:rsidRDefault="002F2A46" w:rsidP="002F2A46">
      <w:pPr>
        <w:pStyle w:val="NormalBold"/>
        <w:rPr>
          <w:noProof/>
          <w:lang w:val="it-IT"/>
        </w:rPr>
      </w:pPr>
      <w:r w:rsidRPr="00CD03D8">
        <w:rPr>
          <w:rStyle w:val="HideTWBExt"/>
          <w:b w:val="0"/>
          <w:lang w:val="it-IT"/>
        </w:rPr>
        <w:t>&lt;RepeatBlock-By&gt;&lt;Members&gt;</w:t>
      </w:r>
      <w:r w:rsidRPr="00CD03D8">
        <w:rPr>
          <w:lang w:val="it-IT"/>
        </w:rPr>
        <w:t>Mara Bizzotto, Angelo Ciocca</w:t>
      </w:r>
      <w:r w:rsidRPr="00CD03D8">
        <w:rPr>
          <w:rStyle w:val="HideTWBExt"/>
          <w:b w:val="0"/>
          <w:lang w:val="it-IT"/>
        </w:rPr>
        <w:t>&lt;/Members&gt;</w:t>
      </w:r>
    </w:p>
    <w:p w:rsidR="002F2A46" w:rsidRPr="00CD03D8" w:rsidRDefault="002F2A46" w:rsidP="002F2A46">
      <w:pPr>
        <w:rPr>
          <w:noProof/>
          <w:lang w:val="it-IT"/>
        </w:rPr>
      </w:pPr>
      <w:r w:rsidRPr="00CD03D8">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 – point f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(3 bis)</w:t>
            </w:r>
            <w:r w:rsidRPr="000A2FD1">
              <w:rPr>
                <w:b/>
                <w:i/>
              </w:rPr>
              <w:tab/>
              <w:t>à l'article 6, le point suivant est ajouté:</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«f bis) Pour le secteur vitivinicole, la campagne de commercialisation s’étend du 1</w:t>
            </w:r>
            <w:r w:rsidRPr="000A2FD1">
              <w:rPr>
                <w:b/>
                <w:i/>
                <w:vertAlign w:val="superscript"/>
              </w:rPr>
              <w:t>er</w:t>
            </w:r>
            <w:r w:rsidRPr="000A2FD1">
              <w:rPr>
                <w:b/>
                <w:i/>
              </w:rPr>
              <w:t> août au 31 juillet de l’année suivante;»</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{IT}</w:t>
      </w:r>
      <w:r w:rsidRPr="00CD03D8">
        <w:rPr>
          <w:lang w:val="en-GB"/>
        </w:rPr>
        <w:t>it</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(https://eur-lex.europa.eu/legal-content/FR/TXT/HTML/?uri=CELEX:02013R1308-20180101&amp;qid=1544002681050&amp;from=FR)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221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 – paragraphe 1 – point f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7,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f bis) en ce qui concerne la viande d’agneau, 4 500 EUR par tonne pour les carcasses d’agneaux de moins de 8 mois;</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Le niveau du prix d’intervention de la viande d’agneau est fixé de façon à constituer un filet de sécurité en cas de crise sévère du marché. Il est en deça des coûts de production et des cours pratiqués les cinq dernières années. En ce qui concerne l’âge des agneaux, il nous faut tenir compte de l’âge réel en pratique dans l’Union, qui est d’environ 6 à 8 mois.</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222</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7 – paragraphe 1 – point g – sous-point i</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bis)</w:t>
            </w:r>
            <w:r w:rsidRPr="00094D6B">
              <w:rPr>
                <w:b/>
                <w:i/>
              </w:rPr>
              <w:tab/>
              <w:t>à l’article 7, paragraphe 1, point g), le point i) est remplacé par le texte suivant: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i</w:t>
            </w:r>
            <w:r w:rsidRPr="00094D6B">
              <w:t xml:space="preserve">) </w:t>
            </w:r>
            <w:r w:rsidRPr="00094D6B">
              <w:rPr>
                <w:b/>
                <w:i/>
              </w:rPr>
              <w:t>1</w:t>
            </w:r>
            <w:r w:rsidRPr="00094D6B">
              <w:t> </w:t>
            </w:r>
            <w:r w:rsidRPr="00094D6B">
              <w:rPr>
                <w:b/>
                <w:i/>
              </w:rPr>
              <w:t xml:space="preserve">779 </w:t>
            </w:r>
            <w:r w:rsidRPr="00094D6B">
              <w:t>EUR par tonne pour l'huile d'olive vierge extra;</w:t>
            </w:r>
          </w:p>
        </w:tc>
        <w:tc>
          <w:tcPr>
            <w:tcW w:w="4876" w:type="dxa"/>
            <w:hideMark/>
          </w:tcPr>
          <w:p w:rsidR="002F2A46" w:rsidRPr="00094D6B" w:rsidRDefault="002F2A46" w:rsidP="003A3553">
            <w:pPr>
              <w:pStyle w:val="Normal6"/>
              <w:rPr>
                <w:noProof/>
                <w:szCs w:val="24"/>
              </w:rPr>
            </w:pPr>
            <w:r w:rsidRPr="00094D6B">
              <w:rPr>
                <w:b/>
                <w:i/>
              </w:rPr>
              <w:t>«i</w:t>
            </w:r>
            <w:r w:rsidRPr="00094D6B">
              <w:t xml:space="preserve">) </w:t>
            </w:r>
            <w:r w:rsidRPr="00094D6B">
              <w:rPr>
                <w:b/>
                <w:i/>
              </w:rPr>
              <w:t>2</w:t>
            </w:r>
            <w:r w:rsidRPr="00094D6B">
              <w:t> </w:t>
            </w:r>
            <w:r w:rsidRPr="00094D6B">
              <w:rPr>
                <w:b/>
                <w:i/>
              </w:rPr>
              <w:t>250 </w:t>
            </w:r>
            <w:r w:rsidRPr="00094D6B">
              <w:t>EUR par tonne pour l'huile d'olive vierge extra;</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Les seuils de référence pour le déclenchement du stockage privé de l’huile d’olive n’ont pas été mis à jour une seule fois en 20 ans. Ils ne sont donc plus adaptés à la situation actuelle sur le marché. Les sommes proposées correspondent à 90 % des coûts de production les plus bas d'après les dernières études disponibles sur le secteur.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223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Sofia Ribeiro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 – paragraphe 1 – point f</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7, paragraphe 1, le point f) est remplacé par le texte suivant: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f) en ce qui concerne la viande de porc, </w:t>
            </w:r>
            <w:r w:rsidRPr="00421CE3">
              <w:rPr>
                <w:b/>
                <w:i/>
              </w:rPr>
              <w:t xml:space="preserve">1 509,39 </w:t>
            </w:r>
            <w:r w:rsidRPr="00421CE3">
              <w:t>EUR par tonne pour les carcasses de porcs de qualité type définie en termes de poids et de teneur en viande maigre, conformément à la grille utilisée dans l'Union pour le classement des carcasses de porcs visée à l'annexe IV, point B, comme suit:</w:t>
            </w:r>
          </w:p>
        </w:tc>
        <w:tc>
          <w:tcPr>
            <w:tcW w:w="4876" w:type="dxa"/>
            <w:hideMark/>
          </w:tcPr>
          <w:p w:rsidR="002F2A46" w:rsidRPr="00421CE3" w:rsidRDefault="002F2A46" w:rsidP="003A3553">
            <w:pPr>
              <w:pStyle w:val="Normal6"/>
              <w:rPr>
                <w:noProof/>
                <w:szCs w:val="24"/>
              </w:rPr>
            </w:pPr>
            <w:r w:rsidRPr="00421CE3">
              <w:rPr>
                <w:b/>
                <w:i/>
              </w:rPr>
              <w:t>«</w:t>
            </w:r>
            <w:r w:rsidRPr="00421CE3">
              <w:t xml:space="preserve">f) en ce qui concerne la viande de porc, </w:t>
            </w:r>
            <w:r w:rsidRPr="00421CE3">
              <w:rPr>
                <w:b/>
                <w:i/>
              </w:rPr>
              <w:t>1 450 </w:t>
            </w:r>
            <w:r w:rsidRPr="00421CE3">
              <w:t>EUR par tonne pour les carcasses de porcs de qualité type définie en termes de poids et de teneur en viande maigre, conformément à la grille utilisée dans l'Union pour le classement des carcasses de porcs visée à l'annexe IV, point B,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w:t>
            </w:r>
            <w:r w:rsidRPr="00421CE3">
              <w:t xml:space="preserve"> les carcasses d'un poids de 60 à moins de 120 kg: classe E;</w:t>
            </w:r>
          </w:p>
        </w:tc>
        <w:tc>
          <w:tcPr>
            <w:tcW w:w="4876" w:type="dxa"/>
            <w:hideMark/>
          </w:tcPr>
          <w:p w:rsidR="002F2A46" w:rsidRPr="00421CE3" w:rsidRDefault="002F2A46" w:rsidP="003A3553">
            <w:pPr>
              <w:pStyle w:val="Normal6"/>
              <w:rPr>
                <w:noProof/>
                <w:szCs w:val="24"/>
              </w:rPr>
            </w:pPr>
            <w:r w:rsidRPr="00421CE3">
              <w:rPr>
                <w:b/>
                <w:i/>
              </w:rPr>
              <w:t>i)</w:t>
            </w:r>
            <w:r w:rsidRPr="00421CE3">
              <w:t xml:space="preserve"> les carcasses d'un poids de 60 à moins de 120 kg: classe E;</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ii) les carcasses d'un poids de 120 à 180 kg: classe R.</w:t>
            </w:r>
          </w:p>
        </w:tc>
        <w:tc>
          <w:tcPr>
            <w:tcW w:w="4876" w:type="dxa"/>
            <w:hideMark/>
          </w:tcPr>
          <w:p w:rsidR="002F2A46" w:rsidRPr="00421CE3" w:rsidRDefault="002F2A46" w:rsidP="003A3553">
            <w:pPr>
              <w:pStyle w:val="Normal6"/>
              <w:rPr>
                <w:noProof/>
                <w:szCs w:val="24"/>
              </w:rPr>
            </w:pPr>
            <w:r w:rsidRPr="00421CE3">
              <w:t>ii) les carcasses d'un poids de 120 à 180 kg: classe R.</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224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7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en vigueur</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r w:rsidRPr="00393A53">
              <w:rPr>
                <w:b/>
                <w:i/>
              </w:rPr>
              <w:t>(3 bis)</w:t>
            </w:r>
            <w:r w:rsidRPr="00393A53">
              <w:rPr>
                <w:b/>
                <w:i/>
              </w:rPr>
              <w:tab/>
              <w:t>à l’article 7, paragraphe 1, le point a) est remplacé par le texte suivant: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t>1. Les seuils de référence suivants sont fixés:</w:t>
            </w:r>
          </w:p>
        </w:tc>
        <w:tc>
          <w:tcPr>
            <w:tcW w:w="4876" w:type="dxa"/>
            <w:hideMark/>
          </w:tcPr>
          <w:p w:rsidR="002F2A46" w:rsidRPr="00393A53" w:rsidRDefault="002F2A46" w:rsidP="003A3553">
            <w:pPr>
              <w:pStyle w:val="Normal6"/>
              <w:rPr>
                <w:noProof/>
                <w:szCs w:val="24"/>
              </w:rPr>
            </w:pPr>
            <w:r w:rsidRPr="00393A53">
              <w:t>«1. Les seuils de référence suivants sont fixés:</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t xml:space="preserve">a) en ce qui concerne le secteur des céréales, </w:t>
            </w:r>
            <w:r w:rsidRPr="00393A53">
              <w:rPr>
                <w:b/>
                <w:i/>
              </w:rPr>
              <w:t>101</w:t>
            </w:r>
            <w:r w:rsidRPr="00393A53">
              <w:t>,</w:t>
            </w:r>
            <w:r w:rsidRPr="00393A53">
              <w:rPr>
                <w:b/>
                <w:i/>
              </w:rPr>
              <w:t>31</w:t>
            </w:r>
            <w:r w:rsidRPr="00393A53">
              <w:t xml:space="preserve"> EUR par tonne, au stade du commerce de gros, marchandise rendue magasin non déchargée;</w:t>
            </w:r>
          </w:p>
        </w:tc>
        <w:tc>
          <w:tcPr>
            <w:tcW w:w="4876" w:type="dxa"/>
            <w:hideMark/>
          </w:tcPr>
          <w:p w:rsidR="002F2A46" w:rsidRPr="00393A53" w:rsidRDefault="002F2A46" w:rsidP="003A3553">
            <w:pPr>
              <w:pStyle w:val="Normal6"/>
              <w:rPr>
                <w:noProof/>
                <w:szCs w:val="24"/>
              </w:rPr>
            </w:pPr>
            <w:r w:rsidRPr="00393A53">
              <w:t xml:space="preserve">a) en ce qui concerne le secteur des céréales, </w:t>
            </w:r>
            <w:r w:rsidRPr="00393A53">
              <w:rPr>
                <w:b/>
                <w:i/>
              </w:rPr>
              <w:t>130</w:t>
            </w:r>
            <w:r w:rsidRPr="00393A53">
              <w:t>,</w:t>
            </w:r>
            <w:r w:rsidRPr="00393A53">
              <w:rPr>
                <w:b/>
                <w:i/>
              </w:rPr>
              <w:t>0</w:t>
            </w:r>
            <w:r w:rsidRPr="00393A53">
              <w:t xml:space="preserve"> EUR par tonne, au stade du commerce de gros, marchandise rendue magasin non déchargée;</w:t>
            </w:r>
            <w:r w:rsidRPr="00393A53">
              <w:rPr>
                <w:b/>
                <w:i/>
              </w:rPr>
              <w: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{PL}</w:t>
      </w:r>
      <w:r w:rsidRPr="00CD03D8">
        <w:rPr>
          <w:lang w:val="en-GB"/>
        </w:rPr>
        <w:t>pl</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Les seuils de référence doivent être mis à jour, en particulier pour le secteur des céréales. Leur faible niveau actuel ne reflète pas la situation du marché.  Par conséquent, le mécanisme de déclenchement automatique des interventions ne s’applique pas.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225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Beata Gosiewska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7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en vigueur</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r w:rsidRPr="00393A53">
              <w:rPr>
                <w:b/>
                <w:i/>
              </w:rPr>
              <w:t>(3 bis)</w:t>
            </w:r>
            <w:r w:rsidRPr="00393A53">
              <w:rPr>
                <w:b/>
                <w:i/>
              </w:rPr>
              <w:tab/>
              <w:t>à l’article 7, le point a) est remplacé par le texte suivant: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t>1. Les seuils de référence suivants sont fixés:</w:t>
            </w:r>
          </w:p>
        </w:tc>
        <w:tc>
          <w:tcPr>
            <w:tcW w:w="4876" w:type="dxa"/>
            <w:hideMark/>
          </w:tcPr>
          <w:p w:rsidR="002F2A46" w:rsidRPr="00393A53" w:rsidRDefault="002F2A46" w:rsidP="003A3553">
            <w:pPr>
              <w:pStyle w:val="Normal6"/>
              <w:rPr>
                <w:noProof/>
                <w:szCs w:val="24"/>
              </w:rPr>
            </w:pPr>
            <w:r w:rsidRPr="00393A53">
              <w:t>«1. Les seuils de référence suivants sont fixés:</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t xml:space="preserve">a) en ce qui concerne le secteur des céréales, </w:t>
            </w:r>
            <w:r w:rsidRPr="00393A53">
              <w:rPr>
                <w:b/>
                <w:i/>
              </w:rPr>
              <w:t>101</w:t>
            </w:r>
            <w:r w:rsidRPr="00393A53">
              <w:t>,</w:t>
            </w:r>
            <w:r w:rsidRPr="00393A53">
              <w:rPr>
                <w:b/>
                <w:i/>
              </w:rPr>
              <w:t>31</w:t>
            </w:r>
            <w:r w:rsidRPr="00393A53">
              <w:t xml:space="preserve"> EUR par tonne, au stade du commerce de gros, marchandise rendue magasin non déchargée;</w:t>
            </w:r>
          </w:p>
        </w:tc>
        <w:tc>
          <w:tcPr>
            <w:tcW w:w="4876" w:type="dxa"/>
            <w:hideMark/>
          </w:tcPr>
          <w:p w:rsidR="002F2A46" w:rsidRPr="00393A53" w:rsidRDefault="002F2A46" w:rsidP="003A3553">
            <w:pPr>
              <w:pStyle w:val="Normal6"/>
              <w:rPr>
                <w:noProof/>
                <w:szCs w:val="24"/>
              </w:rPr>
            </w:pPr>
            <w:r w:rsidRPr="00393A53">
              <w:t xml:space="preserve">a) en ce qui concerne le secteur des céréales, </w:t>
            </w:r>
            <w:r w:rsidRPr="00393A53">
              <w:rPr>
                <w:b/>
                <w:i/>
              </w:rPr>
              <w:t>130</w:t>
            </w:r>
            <w:r w:rsidRPr="00393A53">
              <w:t>,</w:t>
            </w:r>
            <w:r w:rsidRPr="00393A53">
              <w:rPr>
                <w:b/>
                <w:i/>
              </w:rPr>
              <w:t>0</w:t>
            </w:r>
            <w:r w:rsidRPr="00393A53">
              <w:t xml:space="preserve"> EUR par tonne, au stade du commerce de gros, marchandise rendue magasin non déchargée;</w:t>
            </w:r>
            <w:r w:rsidRPr="00393A53">
              <w:rPr>
                <w:b/>
                <w:i/>
              </w:rPr>
              <w: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{PL}</w:t>
      </w:r>
      <w:r w:rsidRPr="00CD03D8">
        <w:rPr>
          <w:lang w:val="en-GB"/>
        </w:rPr>
        <w:t>pl</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226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7 – paragraphe 1 – point g</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ter)</w:t>
            </w:r>
            <w:r w:rsidRPr="00094D6B">
              <w:rPr>
                <w:b/>
                <w:i/>
              </w:rPr>
              <w:tab/>
              <w:t>à l'article 7, paragraphe 1, le point g) est remplacé par le texte suivant:</w:t>
            </w:r>
            <w:r w:rsidRPr="00094D6B">
              <w:rPr>
                <w:rFonts w:ascii="MS Gothic" w:hAnsi="MS Gothic"/>
                <w:b/>
                <w:i/>
              </w:rPr>
              <w:t xml:space="preserve">　</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g</w:t>
            </w:r>
            <w:r w:rsidRPr="00094D6B">
              <w:t>) en ce qui concerne l'huile d'olive:</w:t>
            </w:r>
          </w:p>
        </w:tc>
        <w:tc>
          <w:tcPr>
            <w:tcW w:w="4876" w:type="dxa"/>
            <w:hideMark/>
          </w:tcPr>
          <w:p w:rsidR="002F2A46" w:rsidRPr="00094D6B" w:rsidRDefault="002F2A46" w:rsidP="003A3553">
            <w:pPr>
              <w:pStyle w:val="Normal6"/>
              <w:rPr>
                <w:noProof/>
                <w:szCs w:val="24"/>
              </w:rPr>
            </w:pPr>
            <w:r w:rsidRPr="00094D6B">
              <w:rPr>
                <w:b/>
                <w:i/>
              </w:rPr>
              <w:t>«g</w:t>
            </w:r>
            <w:r w:rsidRPr="00094D6B">
              <w:t>) en ce qui concerne l'huile d'olive: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 xml:space="preserve">i) </w:t>
            </w:r>
            <w:r w:rsidRPr="00094D6B">
              <w:rPr>
                <w:b/>
                <w:i/>
              </w:rPr>
              <w:t>1</w:t>
            </w:r>
            <w:r w:rsidRPr="00094D6B">
              <w:t> </w:t>
            </w:r>
            <w:r w:rsidRPr="00094D6B">
              <w:rPr>
                <w:b/>
                <w:i/>
              </w:rPr>
              <w:t xml:space="preserve">779 </w:t>
            </w:r>
            <w:r w:rsidRPr="00094D6B">
              <w:t>EUR par tonne pour l'huile d'olive vierge extra;</w:t>
            </w:r>
          </w:p>
        </w:tc>
        <w:tc>
          <w:tcPr>
            <w:tcW w:w="4876" w:type="dxa"/>
            <w:hideMark/>
          </w:tcPr>
          <w:p w:rsidR="002F2A46" w:rsidRPr="00094D6B" w:rsidRDefault="002F2A46" w:rsidP="003A3553">
            <w:pPr>
              <w:pStyle w:val="Normal6"/>
              <w:rPr>
                <w:noProof/>
                <w:szCs w:val="24"/>
              </w:rPr>
            </w:pPr>
            <w:r w:rsidRPr="00094D6B">
              <w:t xml:space="preserve">i) </w:t>
            </w:r>
            <w:r w:rsidRPr="00094D6B">
              <w:rPr>
                <w:b/>
                <w:i/>
              </w:rPr>
              <w:t>2</w:t>
            </w:r>
            <w:r w:rsidRPr="00094D6B">
              <w:t> </w:t>
            </w:r>
            <w:r w:rsidRPr="00094D6B">
              <w:rPr>
                <w:b/>
                <w:i/>
              </w:rPr>
              <w:t>262 </w:t>
            </w:r>
            <w:r w:rsidRPr="00094D6B">
              <w:t>EUR par tonne pour l'huile d'olive vierge extra;</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 xml:space="preserve">ii) </w:t>
            </w:r>
            <w:r w:rsidRPr="00094D6B">
              <w:rPr>
                <w:b/>
                <w:i/>
              </w:rPr>
              <w:t>1</w:t>
            </w:r>
            <w:r w:rsidRPr="00094D6B">
              <w:t> </w:t>
            </w:r>
            <w:r w:rsidRPr="00094D6B">
              <w:rPr>
                <w:b/>
                <w:i/>
              </w:rPr>
              <w:t>710</w:t>
            </w:r>
            <w:r w:rsidRPr="00094D6B">
              <w:t xml:space="preserve"> EUR par tonne pour l'huile d'olive vierge;</w:t>
            </w:r>
          </w:p>
        </w:tc>
        <w:tc>
          <w:tcPr>
            <w:tcW w:w="4876" w:type="dxa"/>
            <w:hideMark/>
          </w:tcPr>
          <w:p w:rsidR="002F2A46" w:rsidRPr="00094D6B" w:rsidRDefault="002F2A46" w:rsidP="003A3553">
            <w:pPr>
              <w:pStyle w:val="Normal6"/>
              <w:rPr>
                <w:noProof/>
                <w:szCs w:val="24"/>
              </w:rPr>
            </w:pPr>
            <w:r w:rsidRPr="00094D6B">
              <w:t xml:space="preserve">ii) </w:t>
            </w:r>
            <w:r w:rsidRPr="00094D6B">
              <w:rPr>
                <w:b/>
                <w:i/>
              </w:rPr>
              <w:t>2</w:t>
            </w:r>
            <w:r w:rsidRPr="00094D6B">
              <w:t> </w:t>
            </w:r>
            <w:r w:rsidRPr="00094D6B">
              <w:rPr>
                <w:b/>
                <w:i/>
              </w:rPr>
              <w:t>174</w:t>
            </w:r>
            <w:r w:rsidRPr="00094D6B">
              <w:t xml:space="preserve"> EUR par tonne pour l'huile d'olive vierge;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 xml:space="preserve">iii) </w:t>
            </w:r>
            <w:r w:rsidRPr="00094D6B">
              <w:rPr>
                <w:b/>
                <w:i/>
              </w:rPr>
              <w:t xml:space="preserve">1 524 </w:t>
            </w:r>
            <w:r w:rsidRPr="00094D6B">
              <w:t>EUR par tonne pour l'huile d'olive lampante à 2 degrés d'acidité libre (ce</w:t>
            </w:r>
            <w:r w:rsidRPr="00094D6B">
              <w:rPr>
                <w:b/>
                <w:i/>
              </w:rPr>
              <w:t xml:space="preserve"> </w:t>
            </w:r>
            <w:r w:rsidRPr="00094D6B">
              <w:t>montant étant réduit de 36,70</w:t>
            </w:r>
            <w:r w:rsidRPr="00094D6B">
              <w:rPr>
                <w:b/>
                <w:i/>
              </w:rPr>
              <w:t xml:space="preserve"> </w:t>
            </w:r>
            <w:r w:rsidRPr="00094D6B">
              <w:t>EUR par tonne pour chaque degré d'acidité supplémentaire).</w:t>
            </w:r>
          </w:p>
        </w:tc>
        <w:tc>
          <w:tcPr>
            <w:tcW w:w="4876" w:type="dxa"/>
            <w:hideMark/>
          </w:tcPr>
          <w:p w:rsidR="002F2A46" w:rsidRPr="00094D6B" w:rsidRDefault="002F2A46" w:rsidP="003A3553">
            <w:pPr>
              <w:pStyle w:val="Normal6"/>
              <w:rPr>
                <w:noProof/>
                <w:szCs w:val="24"/>
              </w:rPr>
            </w:pPr>
            <w:r w:rsidRPr="00094D6B">
              <w:t xml:space="preserve">iii) </w:t>
            </w:r>
            <w:r w:rsidRPr="00094D6B">
              <w:rPr>
                <w:b/>
                <w:i/>
              </w:rPr>
              <w:t>1 938 </w:t>
            </w:r>
            <w:r w:rsidRPr="00094D6B">
              <w:t>EUR par tonne pour l'huile d'olive lampante à 2 degrés d'acidité libre (ce</w:t>
            </w:r>
            <w:r w:rsidRPr="00094D6B">
              <w:rPr>
                <w:b/>
                <w:i/>
              </w:rPr>
              <w:t> </w:t>
            </w:r>
            <w:r w:rsidRPr="00094D6B">
              <w:t>montant étant réduit de 36,70</w:t>
            </w:r>
            <w:r w:rsidRPr="00094D6B">
              <w:rPr>
                <w:b/>
                <w:i/>
              </w:rPr>
              <w:t> </w:t>
            </w:r>
            <w:r w:rsidRPr="00094D6B">
              <w:t>EUR par tonne pour chaque degré d'acidité supplémentaire).</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Les seuils de référence pour le déclenchement du stockage privé de l’huile d’olive n’ont pas été mis à jour une seule fois en 20 ans. Ils ne sont donc plus adaptés à la situation actuelle sur le marché. Les sommes proposées correspondent à 90 % des coûts de production les plus bas d'après les dernières études disponibles sur le secteur. Ce n’est qu’ainsi que cet instrument pourra jouer un rôle utile dans la gestion des crises sur le marché de l’huile d’olive.</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227</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7 – paragraphe 1 – point g – sous-point ii</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ter)</w:t>
            </w:r>
            <w:r w:rsidRPr="00094D6B">
              <w:rPr>
                <w:b/>
                <w:i/>
              </w:rPr>
              <w:tab/>
              <w:t>à l’article 7, paragraphe 1, point g), le point ii) est remplacé par le texte suivant: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ii</w:t>
            </w:r>
            <w:r w:rsidRPr="00094D6B">
              <w:t xml:space="preserve">) </w:t>
            </w:r>
            <w:r w:rsidRPr="00094D6B">
              <w:rPr>
                <w:b/>
                <w:i/>
              </w:rPr>
              <w:t>1</w:t>
            </w:r>
            <w:r w:rsidRPr="00094D6B">
              <w:t> </w:t>
            </w:r>
            <w:r w:rsidRPr="00094D6B">
              <w:rPr>
                <w:b/>
                <w:i/>
              </w:rPr>
              <w:t>710</w:t>
            </w:r>
            <w:r w:rsidRPr="00094D6B">
              <w:t xml:space="preserve"> EUR par tonne pour l'huile d'olive vierge;</w:t>
            </w:r>
          </w:p>
        </w:tc>
        <w:tc>
          <w:tcPr>
            <w:tcW w:w="4876" w:type="dxa"/>
            <w:hideMark/>
          </w:tcPr>
          <w:p w:rsidR="002F2A46" w:rsidRPr="00094D6B" w:rsidRDefault="002F2A46" w:rsidP="003A3553">
            <w:pPr>
              <w:pStyle w:val="Normal6"/>
              <w:rPr>
                <w:noProof/>
                <w:szCs w:val="24"/>
              </w:rPr>
            </w:pPr>
            <w:r w:rsidRPr="00094D6B">
              <w:rPr>
                <w:b/>
                <w:i/>
              </w:rPr>
              <w:t>«ii</w:t>
            </w:r>
            <w:r w:rsidRPr="00094D6B">
              <w:t xml:space="preserve">) </w:t>
            </w:r>
            <w:r w:rsidRPr="00094D6B">
              <w:rPr>
                <w:b/>
                <w:i/>
              </w:rPr>
              <w:t>2</w:t>
            </w:r>
            <w:r w:rsidRPr="00094D6B">
              <w:t> </w:t>
            </w:r>
            <w:r w:rsidRPr="00094D6B">
              <w:rPr>
                <w:b/>
                <w:i/>
              </w:rPr>
              <w:t>070</w:t>
            </w:r>
            <w:r w:rsidRPr="00094D6B">
              <w:t xml:space="preserve"> EUR par tonne pour l'huile d'olive vierge;</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Les seuils de référence pour le déclenchement du stockage privé de l’huile d’olive n’ont pas été mis à jour une seule fois en 20 ans. Ils ne sont donc plus adaptés à la situation actuelle sur le marché. Les sommes proposées correspondent à 90 % des coûts de production les plus bas d'après les dernières études disponibles sur le secteur.</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228</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quater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7 – paragraphe 1 – point g – sous-point iii</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quater)</w:t>
            </w:r>
            <w:r w:rsidRPr="00094D6B">
              <w:rPr>
                <w:b/>
                <w:i/>
              </w:rPr>
              <w:tab/>
              <w:t>à l’article 7, paragraphe 1, point g), le point iii) est remplacé par le texte suivant: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iii</w:t>
            </w:r>
            <w:r w:rsidRPr="00094D6B">
              <w:t xml:space="preserve">) </w:t>
            </w:r>
            <w:r w:rsidRPr="00094D6B">
              <w:rPr>
                <w:b/>
                <w:i/>
              </w:rPr>
              <w:t xml:space="preserve">1 524 </w:t>
            </w:r>
            <w:r w:rsidRPr="00094D6B">
              <w:t>EUR par tonne pour l'huile d'olive lampante à 2 degrés d'acidité libre (ce</w:t>
            </w:r>
            <w:r w:rsidRPr="00094D6B">
              <w:rPr>
                <w:b/>
                <w:i/>
              </w:rPr>
              <w:t xml:space="preserve"> </w:t>
            </w:r>
            <w:r w:rsidRPr="00094D6B">
              <w:t>montant étant réduit de 36,70</w:t>
            </w:r>
            <w:r w:rsidRPr="00094D6B">
              <w:rPr>
                <w:b/>
                <w:i/>
              </w:rPr>
              <w:t xml:space="preserve"> </w:t>
            </w:r>
            <w:r w:rsidRPr="00094D6B">
              <w:t>EUR par tonne pour chaque degré d'acidité supplémentaire).</w:t>
            </w:r>
          </w:p>
        </w:tc>
        <w:tc>
          <w:tcPr>
            <w:tcW w:w="4876" w:type="dxa"/>
            <w:hideMark/>
          </w:tcPr>
          <w:p w:rsidR="002F2A46" w:rsidRPr="00094D6B" w:rsidRDefault="002F2A46" w:rsidP="003A3553">
            <w:pPr>
              <w:pStyle w:val="Normal6"/>
              <w:rPr>
                <w:noProof/>
                <w:szCs w:val="24"/>
              </w:rPr>
            </w:pPr>
            <w:r w:rsidRPr="00094D6B">
              <w:rPr>
                <w:b/>
                <w:i/>
              </w:rPr>
              <w:t>«iii</w:t>
            </w:r>
            <w:r w:rsidRPr="00094D6B">
              <w:t xml:space="preserve">) </w:t>
            </w:r>
            <w:r w:rsidRPr="00094D6B">
              <w:rPr>
                <w:b/>
                <w:i/>
              </w:rPr>
              <w:t>1 890 </w:t>
            </w:r>
            <w:r w:rsidRPr="00094D6B">
              <w:t>EUR par tonne pour l'huile d'olive lampante à 2 degrés d'acidité libre (ce</w:t>
            </w:r>
            <w:r w:rsidRPr="00094D6B">
              <w:rPr>
                <w:b/>
                <w:i/>
              </w:rPr>
              <w:t> </w:t>
            </w:r>
            <w:r w:rsidRPr="00094D6B">
              <w:t>montant étant réduit de 36,70</w:t>
            </w:r>
            <w:r w:rsidRPr="00094D6B">
              <w:rPr>
                <w:b/>
                <w:i/>
              </w:rPr>
              <w:t> </w:t>
            </w:r>
            <w:r w:rsidRPr="00094D6B">
              <w:t>EUR par tonne pour chaque degré d'acidité supplémentaire).</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Les seuils de référence pour le déclenchement du stockage privé de l’huile d’olive n’ont pas été mis à jour une seule fois en 20 ans. Ils ne sont donc plus adaptés à la situation actuelle sur le marché. Les sommes proposées correspondent à 90 % des coûts de production les plus bas d'après les dernières études disponibles sur le secteur.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229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Jean Arthuis</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bis)</w:t>
            </w:r>
            <w:r w:rsidRPr="00A53FF9">
              <w:rPr>
                <w:b/>
                <w:i/>
              </w:rPr>
              <w:tab/>
              <w:t>L'Article 7 bis suivant est inséré: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CD03D8" w:rsidP="003A3553">
            <w:pPr>
              <w:pStyle w:val="Normal6"/>
              <w:rPr>
                <w:szCs w:val="24"/>
              </w:rPr>
            </w:pPr>
            <w:r>
              <w:rPr>
                <w:b/>
                <w:i/>
              </w:rPr>
              <w:t>«</w:t>
            </w:r>
            <w:r w:rsidR="002F2A46" w:rsidRPr="00A53FF9">
              <w:rPr>
                <w:b/>
                <w:i/>
              </w:rPr>
              <w:t>Article 7 bis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Seuil d'alerte</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 Des seuils d'alerte sont définis de la façon suivante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 pour les produits pour lesquels il est fixé un seuil de référence à l'article 7, le seuil d'alerte est établi lorsque le prix moyen pondéré de marché est inférieur à [XXX %] du prix de référence durant [X] semaines consécutives pour les prix hebdomadaires et [X] mois consécutifs pour les prix mensuels;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 pour les produits pour lesquels il n'est pas fixé de seuil de référence, le seuil d'alerte est établi lorsque le prix moyen pondéré de marché est inférieur à [XX %] du prix moyen olympique durant [X] semaines consécutives pour les prix hebdomadaires et [X] mois consécutifs pour les prix mensuels.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 Sans préjudice des dispositions prévues à l'article 13, lorsque le seuil d'alerte est franchi, la Commission réalise un rapport, dans un délai maximum d'un mois, à l'intention du Parlement et du Conseil afin de présenter la situation de marché du produit concerné, les causes de la perturbation de marché et, le cas échéant, les mesures envisageables, notamment celles prévues à la partie II, Titre I, chapitre 1 du présent règlement, et/ou aux articles 219, 220, 221 et 222.</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La Commission pour la réalisation de ce rapport s'appuie sur la procédure de comité prévue à l'article 229.</w:t>
            </w:r>
            <w:r w:rsidR="00CD03D8">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(https://eur-lex.europa.eu/legal-content/FR/TXT/HTML/?uri=CELEX:02013R1308-20180101&amp;qid=1544002681050&amp;from=FR)</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230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quater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10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quater)</w:t>
            </w:r>
            <w:r w:rsidRPr="00094D6B">
              <w:rPr>
                <w:b/>
                <w:i/>
              </w:rPr>
              <w:tab/>
              <w:t>à la partie II, titre I, chapitre I, section 1, l'article 10 bis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«Suivi des marchés et rapports de la Commission</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1. La Commission procède au suivi des marchés représentatifs de principaux produits agricoles. Les produits et les marchés qui font l’objet d'un suivi et les modalités dudit suivi sont définis au moyen d’un acte d’exécution.</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2. La Commission présente au Conseil des rapports accompagnés de propositions concernant les mesures à appliquer pour prévenir et gérer toute crise éventuellement décelée. La portée desdits rapports est définie au moyen d’un acte d’exécution. Les propositions de mesures comprennent l’analyse d'impact correspondant à leur application.»;</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(https://eur-lex.europa.eu/legal-content/FR/TXT/HTML/?uri=CELEX:02013R1308-20180101&amp;qid=1543573613250&amp;from=FR)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Afin de réagir plus rapidement aux déséquilibres sur les marchés, il y a lieu de confier à la Commission la tâche de suivre de près les principaux produits et marchés et de présenter des rapports et des propositions de mesures visant à empêcher l’aggravation de toute crise éventuellement décelée. Il serait possible d’envisager des mécanismes de suivi des marchés plus poussés que ceux actuellement en vigueur, qui permettraient de prévenir les crises avant qu’elles ne s’aggravent.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231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11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(3 bis)</w:t>
            </w:r>
            <w:r w:rsidRPr="00DE5BAE">
              <w:rPr>
                <w:b/>
                <w:i/>
              </w:rPr>
              <w:tab/>
              <w:t>L'article 11 est modifié:</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Produits admissibles à l'intervention publique</w:t>
            </w:r>
          </w:p>
        </w:tc>
        <w:tc>
          <w:tcPr>
            <w:tcW w:w="4876" w:type="dxa"/>
            <w:hideMark/>
          </w:tcPr>
          <w:p w:rsidR="002F2A46" w:rsidRPr="00DE5BAE" w:rsidRDefault="002F2A46" w:rsidP="003A3553">
            <w:pPr>
              <w:pStyle w:val="Normal6"/>
              <w:rPr>
                <w:noProof/>
                <w:szCs w:val="24"/>
              </w:rPr>
            </w:pPr>
            <w:r w:rsidRPr="00DE5BAE">
              <w:rPr>
                <w:b/>
                <w:i/>
              </w:rPr>
              <w:t>«</w:t>
            </w:r>
            <w:r w:rsidRPr="00DE5BAE">
              <w:t>Produits admissibles à l'intervention publique</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L'intervention publique est applicable aux produits suivants, conformément aux conditions définies dans la présente section et sous réserve des exigences et conditions supplémentaires éventuelles qui peuvent être fixées par la Commission, au moyen d'actes délégués en application de l'article 19 et d'actes d'exécution en application de l'article 20:</w:t>
            </w:r>
          </w:p>
        </w:tc>
        <w:tc>
          <w:tcPr>
            <w:tcW w:w="4876" w:type="dxa"/>
            <w:hideMark/>
          </w:tcPr>
          <w:p w:rsidR="002F2A46" w:rsidRPr="00DE5BAE" w:rsidRDefault="002F2A46" w:rsidP="003A3553">
            <w:pPr>
              <w:pStyle w:val="Normal6"/>
              <w:rPr>
                <w:noProof/>
                <w:szCs w:val="24"/>
              </w:rPr>
            </w:pPr>
            <w:r w:rsidRPr="00DE5BAE">
              <w:t>L'intervention publique est applicable aux produits suivants, conformément aux conditions définies dans la présente section et sous réserve des exigences et conditions supplémentaires éventuelles qui peuvent être fixées par la Commission, au moyen d'actes délégués en application de l'article 19 et d'actes d'exécution en application de l'article 20:</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a) le froment (blé) tendre, le froment (blé) dur, l'orge et le maïs;</w:t>
            </w:r>
          </w:p>
        </w:tc>
        <w:tc>
          <w:tcPr>
            <w:tcW w:w="4876" w:type="dxa"/>
            <w:hideMark/>
          </w:tcPr>
          <w:p w:rsidR="002F2A46" w:rsidRPr="00DE5BAE" w:rsidRDefault="002F2A46" w:rsidP="003A3553">
            <w:pPr>
              <w:pStyle w:val="Normal6"/>
              <w:rPr>
                <w:noProof/>
                <w:szCs w:val="24"/>
              </w:rPr>
            </w:pPr>
            <w:r w:rsidRPr="00DE5BAE">
              <w:t>a) le froment (blé) tendre, le froment (blé) dur, l'orge et le maïs;</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b) le riz paddy;</w:t>
            </w:r>
          </w:p>
        </w:tc>
        <w:tc>
          <w:tcPr>
            <w:tcW w:w="4876" w:type="dxa"/>
            <w:hideMark/>
          </w:tcPr>
          <w:p w:rsidR="002F2A46" w:rsidRPr="00DE5BAE" w:rsidRDefault="002F2A46" w:rsidP="003A3553">
            <w:pPr>
              <w:pStyle w:val="Normal6"/>
              <w:rPr>
                <w:noProof/>
                <w:szCs w:val="24"/>
              </w:rPr>
            </w:pPr>
            <w:r w:rsidRPr="00DE5BAE">
              <w:t>b) le riz paddy;</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c) les viandes fraîches ou réfrigérées dans le secteur de la viande bovine, relevant des codes NC</w:t>
            </w:r>
            <w:r w:rsidRPr="00DE5BAE">
              <w:rPr>
                <w:b/>
                <w:i/>
              </w:rPr>
              <w:t xml:space="preserve"> </w:t>
            </w:r>
            <w:r w:rsidRPr="00DE5BAE">
              <w:t>0201 10 00 et 0201 20 20 à 0201 20 50</w:t>
            </w:r>
            <w:r w:rsidRPr="00DE5BAE">
              <w:rPr>
                <w:b/>
                <w:i/>
              </w:rPr>
              <w:t xml:space="preserve"> </w:t>
            </w:r>
            <w:r w:rsidRPr="00DE5BAE">
              <w:t>;</w:t>
            </w:r>
          </w:p>
        </w:tc>
        <w:tc>
          <w:tcPr>
            <w:tcW w:w="4876" w:type="dxa"/>
            <w:hideMark/>
          </w:tcPr>
          <w:p w:rsidR="002F2A46" w:rsidRPr="00DE5BAE" w:rsidRDefault="002F2A46" w:rsidP="003A3553">
            <w:pPr>
              <w:pStyle w:val="Normal6"/>
              <w:rPr>
                <w:noProof/>
                <w:szCs w:val="24"/>
              </w:rPr>
            </w:pPr>
            <w:r w:rsidRPr="00DE5BAE">
              <w:t xml:space="preserve">c) les viandes fraîches ou réfrigérées dans le secteur de la viande </w:t>
            </w:r>
            <w:r w:rsidRPr="00DE5BAE">
              <w:rPr>
                <w:b/>
                <w:i/>
              </w:rPr>
              <w:t xml:space="preserve">ovine et </w:t>
            </w:r>
            <w:r w:rsidRPr="00DE5BAE">
              <w:t>bovine, relevant des codes NC</w:t>
            </w:r>
            <w:r w:rsidRPr="00DE5BAE">
              <w:rPr>
                <w:b/>
                <w:i/>
              </w:rPr>
              <w:t> </w:t>
            </w:r>
            <w:r w:rsidRPr="00DE5BAE">
              <w:t>0201 10 00 et 0201 20 20 à 0201 20 50;</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d) le beurre produit directement et exclusivement à partir de crème pasteurisée obtenue directement et exclusivement à partir de lait de vache dans une entreprise agréée de l'Union, d'une teneur minimale en poids de matière grasse butyrique de 82 % et d'une teneur maximale en poids d'eau de 16 %;</w:t>
            </w:r>
          </w:p>
        </w:tc>
        <w:tc>
          <w:tcPr>
            <w:tcW w:w="4876" w:type="dxa"/>
            <w:hideMark/>
          </w:tcPr>
          <w:p w:rsidR="002F2A46" w:rsidRPr="00DE5BAE" w:rsidRDefault="002F2A46" w:rsidP="003A3553">
            <w:pPr>
              <w:pStyle w:val="Normal6"/>
              <w:rPr>
                <w:noProof/>
                <w:szCs w:val="24"/>
              </w:rPr>
            </w:pPr>
            <w:r w:rsidRPr="00DE5BAE">
              <w:t>d) le beurre produit directement et exclusivement à partir de crème pasteurisée obtenue directement et exclusivement à partir de lait de vache dans une entreprise agréée de l'Union, d'une teneur minimale en poids de matière grasse butyrique de 82 % et d'une teneur maximale en poids d'eau de 16 %;</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e) le lait écrémé en poudre de première qualité de fabrication spray, obtenu à partir de lait de vache et fabriqué dans une entreprise agréée de l'Union, avec une teneur minimale en poids de matière protéique de 34,0 % de la matière sèche non grasse.</w:t>
            </w:r>
          </w:p>
        </w:tc>
        <w:tc>
          <w:tcPr>
            <w:tcW w:w="4876" w:type="dxa"/>
            <w:hideMark/>
          </w:tcPr>
          <w:p w:rsidR="002F2A46" w:rsidRPr="00DE5BAE" w:rsidRDefault="002F2A46" w:rsidP="003A3553">
            <w:pPr>
              <w:pStyle w:val="Normal6"/>
              <w:rPr>
                <w:noProof/>
                <w:szCs w:val="24"/>
              </w:rPr>
            </w:pPr>
            <w:r w:rsidRPr="00DE5BAE">
              <w:t>e) le lait écrémé en poudre de première qualité de fabrication spray, obtenu à partir de lait de vache et fabriqué dans une entreprise agréée de l'Union, avec une teneur minimale en poids de matière protéique de 34,0 % de la matière sèche non grasse.</w:t>
            </w:r>
            <w:r w:rsidRPr="00DE5BAE">
              <w:rPr>
                <w:b/>
                <w:i/>
              </w:rPr>
              <w: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(https://eur-lex.europa.eu/legal-content/FR/TXT/HTML/?uri=CELEX:02013R1308-20180101&amp;qid=1544002681050&amp;from=FR)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232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11 – alinéa 1 – point c</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(3 bis)</w:t>
            </w:r>
            <w:r w:rsidRPr="00DE5BAE">
              <w:rPr>
                <w:b/>
                <w:i/>
              </w:rPr>
              <w:tab/>
              <w:t>L’article 11, paragraphe 1, point c), est modifié comme suit: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c) les viandes fraîches ou réfrigérées dans le secteur de la viande bovine, relevant des codes NC</w:t>
            </w:r>
            <w:r w:rsidRPr="00DE5BAE">
              <w:rPr>
                <w:b/>
                <w:i/>
              </w:rPr>
              <w:t xml:space="preserve"> </w:t>
            </w:r>
            <w:r w:rsidRPr="00DE5BAE">
              <w:t>0201</w:t>
            </w:r>
            <w:r w:rsidRPr="00DE5BAE">
              <w:rPr>
                <w:b/>
                <w:i/>
              </w:rPr>
              <w:t xml:space="preserve"> </w:t>
            </w:r>
            <w:r w:rsidRPr="00DE5BAE">
              <w:t>10</w:t>
            </w:r>
            <w:r w:rsidRPr="00DE5BAE">
              <w:rPr>
                <w:b/>
                <w:i/>
              </w:rPr>
              <w:t xml:space="preserve"> </w:t>
            </w:r>
            <w:r w:rsidRPr="00DE5BAE">
              <w:t>00 et 0201</w:t>
            </w:r>
            <w:r w:rsidRPr="00DE5BAE">
              <w:rPr>
                <w:b/>
                <w:i/>
              </w:rPr>
              <w:t xml:space="preserve"> </w:t>
            </w:r>
            <w:r w:rsidRPr="00DE5BAE">
              <w:t>20</w:t>
            </w:r>
            <w:r w:rsidRPr="00DE5BAE">
              <w:rPr>
                <w:b/>
                <w:i/>
              </w:rPr>
              <w:t xml:space="preserve"> </w:t>
            </w:r>
            <w:r w:rsidRPr="00DE5BAE">
              <w:t>20 à 0201</w:t>
            </w:r>
            <w:r w:rsidRPr="00DE5BAE">
              <w:rPr>
                <w:b/>
                <w:i/>
              </w:rPr>
              <w:t xml:space="preserve"> </w:t>
            </w:r>
            <w:r w:rsidRPr="00DE5BAE">
              <w:t>20</w:t>
            </w:r>
            <w:r w:rsidRPr="00DE5BAE">
              <w:rPr>
                <w:b/>
                <w:i/>
              </w:rPr>
              <w:t xml:space="preserve"> </w:t>
            </w:r>
            <w:r w:rsidRPr="00DE5BAE">
              <w:t>50</w:t>
            </w:r>
            <w:r w:rsidRPr="00DE5BAE">
              <w:rPr>
                <w:b/>
                <w:i/>
              </w:rPr>
              <w:t xml:space="preserve"> </w:t>
            </w:r>
            <w:r w:rsidRPr="00DE5BAE">
              <w:t>;</w:t>
            </w:r>
          </w:p>
        </w:tc>
        <w:tc>
          <w:tcPr>
            <w:tcW w:w="4876" w:type="dxa"/>
            <w:hideMark/>
          </w:tcPr>
          <w:p w:rsidR="002F2A46" w:rsidRPr="00DE5BAE" w:rsidRDefault="002F2A46" w:rsidP="003A3553">
            <w:pPr>
              <w:pStyle w:val="Normal6"/>
              <w:rPr>
                <w:noProof/>
                <w:szCs w:val="24"/>
              </w:rPr>
            </w:pPr>
            <w:r w:rsidRPr="00DE5BAE">
              <w:rPr>
                <w:b/>
                <w:i/>
              </w:rPr>
              <w:t>«c)</w:t>
            </w:r>
            <w:r w:rsidRPr="00DE5BAE">
              <w:t xml:space="preserve"> les viandes fraîches ou réfrigérées dans le secteur de la </w:t>
            </w:r>
            <w:r w:rsidRPr="00DE5BAE">
              <w:rPr>
                <w:b/>
                <w:i/>
              </w:rPr>
              <w:t xml:space="preserve">viande de volaille ainsi que de la </w:t>
            </w:r>
            <w:r w:rsidRPr="00DE5BAE">
              <w:t>viande</w:t>
            </w:r>
            <w:r w:rsidRPr="00DE5BAE">
              <w:rPr>
                <w:b/>
                <w:i/>
              </w:rPr>
              <w:t xml:space="preserve"> porcine et</w:t>
            </w:r>
            <w:r w:rsidRPr="00DE5BAE">
              <w:t xml:space="preserve"> bovine, relevant des codes NC</w:t>
            </w:r>
            <w:r w:rsidRPr="00DE5BAE">
              <w:rPr>
                <w:b/>
                <w:i/>
              </w:rPr>
              <w:t> </w:t>
            </w:r>
            <w:r w:rsidRPr="00DE5BAE">
              <w:t>0201</w:t>
            </w:r>
            <w:r w:rsidRPr="00DE5BAE">
              <w:rPr>
                <w:b/>
                <w:i/>
              </w:rPr>
              <w:t> </w:t>
            </w:r>
            <w:r w:rsidRPr="00DE5BAE">
              <w:t>10</w:t>
            </w:r>
            <w:r w:rsidRPr="00DE5BAE">
              <w:rPr>
                <w:b/>
                <w:i/>
              </w:rPr>
              <w:t> </w:t>
            </w:r>
            <w:r w:rsidRPr="00DE5BAE">
              <w:t>00 et 0201</w:t>
            </w:r>
            <w:r w:rsidRPr="00DE5BAE">
              <w:rPr>
                <w:b/>
                <w:i/>
              </w:rPr>
              <w:t> </w:t>
            </w:r>
            <w:r w:rsidRPr="00DE5BAE">
              <w:t>20</w:t>
            </w:r>
            <w:r w:rsidRPr="00DE5BAE">
              <w:rPr>
                <w:b/>
                <w:i/>
              </w:rPr>
              <w:t> </w:t>
            </w:r>
            <w:r w:rsidRPr="00DE5BAE">
              <w:t>20 à 0201</w:t>
            </w:r>
            <w:r w:rsidRPr="00DE5BAE">
              <w:rPr>
                <w:b/>
                <w:i/>
              </w:rPr>
              <w:t> </w:t>
            </w:r>
            <w:r w:rsidRPr="00DE5BAE">
              <w:t>20</w:t>
            </w:r>
            <w:r w:rsidRPr="00DE5BAE">
              <w:rPr>
                <w:b/>
                <w:i/>
              </w:rPr>
              <w:t> </w:t>
            </w:r>
            <w:r w:rsidRPr="00DE5BAE">
              <w:t>50;</w:t>
            </w:r>
            <w:r w:rsidRPr="00DE5BAE">
              <w:rPr>
                <w:b/>
                <w:i/>
              </w:rPr>
              <w: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233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11 – alinéa 1 – point e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(3 ter)</w:t>
            </w:r>
            <w:r w:rsidRPr="00DE5BAE">
              <w:rPr>
                <w:b/>
                <w:i/>
              </w:rPr>
              <w:tab/>
              <w:t>Article 11 – paragraphe 1 – point e bis (nouveau)</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e bis) sucre blanc.</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234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3 quater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12</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(3 quater)</w:t>
            </w:r>
            <w:r w:rsidRPr="00DE5BAE">
              <w:rPr>
                <w:b/>
                <w:i/>
              </w:rPr>
              <w:tab/>
              <w:t>L’article 12 est modifié comme suit: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 xml:space="preserve">Les périodes d'intervention publique sont les suivantes pour: </w:t>
            </w:r>
            <w:r w:rsidRPr="00DE5BAE">
              <w:rPr>
                <w:b/>
                <w:i/>
              </w:rPr>
              <w:t>a) le froment (blé) tendre, le froment (blé) dur, l'orge et le maïs, du 1</w:t>
            </w:r>
            <w:r w:rsidRPr="00DE5BAE">
              <w:rPr>
                <w:b/>
                <w:i/>
                <w:vertAlign w:val="superscript"/>
              </w:rPr>
              <w:t>er</w:t>
            </w:r>
            <w:r w:rsidRPr="00DE5BAE">
              <w:rPr>
                <w:b/>
                <w:i/>
              </w:rPr>
              <w:t> novembre au 31 mai;</w:t>
            </w:r>
            <w:r w:rsidRPr="00DE5BAE">
              <w:t xml:space="preserve"> </w:t>
            </w:r>
            <w:r w:rsidRPr="00DE5BAE">
              <w:rPr>
                <w:b/>
                <w:i/>
              </w:rPr>
              <w:t>b) le riz paddy, du 1</w:t>
            </w:r>
            <w:r w:rsidRPr="00DE5BAE">
              <w:rPr>
                <w:b/>
                <w:i/>
                <w:vertAlign w:val="superscript"/>
              </w:rPr>
              <w:t>er</w:t>
            </w:r>
            <w:r w:rsidRPr="00DE5BAE">
              <w:rPr>
                <w:b/>
                <w:i/>
              </w:rPr>
              <w:t> avril au 31 juillet;</w:t>
            </w:r>
            <w:r w:rsidRPr="00DE5BAE">
              <w:t xml:space="preserve"> </w:t>
            </w:r>
            <w:r w:rsidRPr="00DE5BAE">
              <w:rPr>
                <w:b/>
                <w:i/>
              </w:rPr>
              <w:t>c) la viande bovine, toute la campagne;</w:t>
            </w:r>
            <w:r w:rsidRPr="00DE5BAE">
              <w:t xml:space="preserve"> </w:t>
            </w:r>
            <w:r w:rsidRPr="00DE5BAE">
              <w:rPr>
                <w:b/>
                <w:i/>
              </w:rPr>
              <w:t>d) le beurre et le lait écrémé en poudre, du 1</w:t>
            </w:r>
            <w:r w:rsidRPr="00DE5BAE">
              <w:rPr>
                <w:b/>
                <w:i/>
                <w:vertAlign w:val="superscript"/>
              </w:rPr>
              <w:t>er</w:t>
            </w:r>
            <w:r w:rsidRPr="00DE5BAE">
              <w:rPr>
                <w:b/>
                <w:i/>
              </w:rPr>
              <w:t> mars au 30 septembre.</w:t>
            </w:r>
          </w:p>
        </w:tc>
        <w:tc>
          <w:tcPr>
            <w:tcW w:w="4876" w:type="dxa"/>
            <w:hideMark/>
          </w:tcPr>
          <w:p w:rsidR="002F2A46" w:rsidRPr="00DE5BAE" w:rsidRDefault="002F2A46" w:rsidP="003A3553">
            <w:pPr>
              <w:pStyle w:val="Normal6"/>
              <w:rPr>
                <w:noProof/>
                <w:szCs w:val="24"/>
              </w:rPr>
            </w:pPr>
            <w:r w:rsidRPr="00DE5BAE">
              <w:t>Les périodes d'intervention publique sont les suivantes pour:</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a) le froment (blé) tendre, le froment (blé) dur, l'orge et le maïs, toute la campagne;</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b) le riz paddy, toute la campagne;</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c) la viande de volaille, la viande porcine et bovine, toute la campagne;</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d) le beurre et le lait écrémé en poudre, toute la campagne;</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d quater) le sucre blanc, toute la campagne.»</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CD03D8" w:rsidRDefault="002F2A46" w:rsidP="002F2A46">
      <w:pPr>
        <w:rPr>
          <w:noProof/>
          <w:lang w:val="en-GB"/>
        </w:rPr>
      </w:pPr>
      <w:r w:rsidRPr="00CD03D8">
        <w:rPr>
          <w:rStyle w:val="HideTWBExt"/>
          <w:lang w:val="en-GB"/>
        </w:rPr>
        <w:t>&lt;/Amend&gt;</w:t>
      </w:r>
    </w:p>
    <w:p w:rsidR="002F2A46" w:rsidRPr="00CD03D8" w:rsidRDefault="002F2A46" w:rsidP="002F2A46">
      <w:pPr>
        <w:pStyle w:val="AMNumberTabs"/>
        <w:keepNext/>
        <w:rPr>
          <w:noProof/>
        </w:rPr>
      </w:pPr>
      <w:r w:rsidRPr="00CD03D8">
        <w:rPr>
          <w:rStyle w:val="HideTWBExt"/>
          <w:b w:val="0"/>
        </w:rPr>
        <w:t>&lt;Amend&gt;</w:t>
      </w:r>
      <w:r w:rsidRPr="00CD03D8">
        <w:t>Amendement</w:t>
      </w:r>
      <w:r w:rsidRPr="00CD03D8">
        <w:tab/>
      </w:r>
      <w:r w:rsidRPr="00CD03D8">
        <w:tab/>
      </w:r>
      <w:r w:rsidRPr="00CD03D8">
        <w:rPr>
          <w:rStyle w:val="HideTWBExt"/>
          <w:b w:val="0"/>
        </w:rPr>
        <w:t>&lt;NumAm&gt;</w:t>
      </w:r>
      <w:r w:rsidRPr="00CD03D8">
        <w:t>235</w:t>
      </w:r>
      <w:r w:rsidRPr="00CD03D8">
        <w:rPr>
          <w:rStyle w:val="HideTWBExt"/>
          <w:b w:val="0"/>
        </w:rPr>
        <w:t>&lt;/NumAm&gt;</w:t>
      </w:r>
    </w:p>
    <w:p w:rsidR="002F2A46" w:rsidRPr="00CD03D8" w:rsidRDefault="002F2A46" w:rsidP="002F2A46">
      <w:pPr>
        <w:pStyle w:val="NormalBold"/>
        <w:rPr>
          <w:noProof/>
        </w:rPr>
      </w:pPr>
      <w:r w:rsidRPr="00CD03D8">
        <w:rPr>
          <w:rStyle w:val="HideTWBExt"/>
          <w:b w:val="0"/>
        </w:rPr>
        <w:t>&lt;RepeatBlock-By&gt;&lt;Members&gt;</w:t>
      </w:r>
      <w:r w:rsidRPr="00CD03D8">
        <w:t>Sofia Ribeiro</w:t>
      </w:r>
      <w:r w:rsidRPr="00CD03D8">
        <w:rPr>
          <w:rStyle w:val="HideTWBExt"/>
          <w:b w:val="0"/>
        </w:rPr>
        <w:t>&lt;/Members&gt;</w:t>
      </w:r>
    </w:p>
    <w:p w:rsidR="002F2A46" w:rsidRPr="00CD03D8" w:rsidRDefault="002F2A46" w:rsidP="002F2A46">
      <w:pPr>
        <w:rPr>
          <w:noProof/>
        </w:rPr>
      </w:pPr>
      <w:r w:rsidRPr="00CD03D8">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5828C1">
        <w:t>Règlement (UE) n° 1308/2013</w:t>
      </w:r>
      <w:r>
        <w:rPr>
          <w:rStyle w:val="HideTWBExt"/>
        </w:rPr>
        <w:t>&lt;/DocAmend2&gt;</w:t>
      </w:r>
    </w:p>
    <w:p w:rsidR="002F2A46" w:rsidRPr="00A53FF9" w:rsidRDefault="002F2A46" w:rsidP="002F2A46">
      <w:pPr>
        <w:rPr>
          <w:noProof/>
        </w:rPr>
      </w:pPr>
      <w:r>
        <w:rPr>
          <w:rStyle w:val="HideTWBExt"/>
        </w:rPr>
        <w:t>&lt;Article2&gt;</w:t>
      </w:r>
      <w:r w:rsidRPr="005828C1">
        <w:t>Article 12</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en vigueur</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(3 ter)</w:t>
            </w:r>
            <w:r w:rsidRPr="005828C1">
              <w:rPr>
                <w:b/>
                <w:i/>
              </w:rPr>
              <w:tab/>
              <w:t>L’article 12 est modifié comme suit: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rPr>
                <w:b/>
                <w:i/>
              </w:rPr>
              <w:t>Périodes</w:t>
            </w:r>
            <w:r w:rsidRPr="005828C1">
              <w:t xml:space="preserve"> d'intervention publique</w:t>
            </w:r>
          </w:p>
        </w:tc>
        <w:tc>
          <w:tcPr>
            <w:tcW w:w="4876" w:type="dxa"/>
            <w:hideMark/>
          </w:tcPr>
          <w:p w:rsidR="002F2A46" w:rsidRPr="005828C1" w:rsidRDefault="002F2A46" w:rsidP="003A3553">
            <w:pPr>
              <w:pStyle w:val="Normal6"/>
              <w:rPr>
                <w:noProof/>
                <w:szCs w:val="24"/>
              </w:rPr>
            </w:pPr>
            <w:r w:rsidRPr="005828C1">
              <w:rPr>
                <w:b/>
                <w:i/>
              </w:rPr>
              <w:t>«Périodes</w:t>
            </w:r>
            <w:r w:rsidRPr="005828C1">
              <w:t xml:space="preserve"> d'intervention publique</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Les périodes d'intervention publique sont les suivantes pour:</w:t>
            </w:r>
          </w:p>
        </w:tc>
        <w:tc>
          <w:tcPr>
            <w:tcW w:w="4876" w:type="dxa"/>
            <w:hideMark/>
          </w:tcPr>
          <w:p w:rsidR="002F2A46" w:rsidRPr="005828C1" w:rsidRDefault="002F2A46" w:rsidP="003A3553">
            <w:pPr>
              <w:pStyle w:val="Normal6"/>
              <w:rPr>
                <w:noProof/>
                <w:szCs w:val="24"/>
              </w:rPr>
            </w:pPr>
            <w:r w:rsidRPr="005828C1">
              <w:t>Les périodes d'intervention publique sont les suivantes pour:</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 xml:space="preserve">a) le froment (blé) tendre, le froment (blé) dur, l'orge et le maïs, </w:t>
            </w:r>
            <w:r w:rsidRPr="005828C1">
              <w:rPr>
                <w:b/>
                <w:i/>
              </w:rPr>
              <w:t>du 1</w:t>
            </w:r>
            <w:r w:rsidRPr="005828C1">
              <w:rPr>
                <w:b/>
                <w:i/>
                <w:vertAlign w:val="superscript"/>
              </w:rPr>
              <w:t>er</w:t>
            </w:r>
            <w:r w:rsidRPr="005828C1">
              <w:rPr>
                <w:b/>
                <w:i/>
              </w:rPr>
              <w:t xml:space="preserve"> novembre au 31 mai</w:t>
            </w:r>
            <w:r w:rsidRPr="005828C1">
              <w:t>;</w:t>
            </w:r>
          </w:p>
        </w:tc>
        <w:tc>
          <w:tcPr>
            <w:tcW w:w="4876" w:type="dxa"/>
            <w:hideMark/>
          </w:tcPr>
          <w:p w:rsidR="002F2A46" w:rsidRPr="005828C1" w:rsidRDefault="002F2A46" w:rsidP="003A3553">
            <w:pPr>
              <w:pStyle w:val="Normal6"/>
              <w:rPr>
                <w:noProof/>
                <w:szCs w:val="24"/>
              </w:rPr>
            </w:pPr>
            <w:r w:rsidRPr="005828C1">
              <w:t xml:space="preserve">a) le froment (blé) tendre, le froment (blé) dur, l'orge et le maïs, </w:t>
            </w:r>
            <w:r w:rsidRPr="005828C1">
              <w:rPr>
                <w:b/>
                <w:i/>
              </w:rPr>
              <w:t>toute la campagne</w:t>
            </w:r>
            <w:r w:rsidRPr="005828C1">
              <w: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 xml:space="preserve">b) le riz paddy, </w:t>
            </w:r>
            <w:r w:rsidRPr="005828C1">
              <w:rPr>
                <w:b/>
                <w:i/>
              </w:rPr>
              <w:t>du 1</w:t>
            </w:r>
            <w:r w:rsidRPr="005828C1">
              <w:rPr>
                <w:b/>
                <w:i/>
                <w:vertAlign w:val="superscript"/>
              </w:rPr>
              <w:t>er</w:t>
            </w:r>
            <w:r w:rsidRPr="005828C1">
              <w:rPr>
                <w:b/>
                <w:i/>
              </w:rPr>
              <w:t xml:space="preserve"> avril au 31 juillet</w:t>
            </w:r>
            <w:r w:rsidRPr="005828C1">
              <w:t>;</w:t>
            </w:r>
          </w:p>
        </w:tc>
        <w:tc>
          <w:tcPr>
            <w:tcW w:w="4876" w:type="dxa"/>
            <w:hideMark/>
          </w:tcPr>
          <w:p w:rsidR="002F2A46" w:rsidRPr="005828C1" w:rsidRDefault="002F2A46" w:rsidP="003A3553">
            <w:pPr>
              <w:pStyle w:val="Normal6"/>
              <w:rPr>
                <w:noProof/>
                <w:szCs w:val="24"/>
              </w:rPr>
            </w:pPr>
            <w:r w:rsidRPr="005828C1">
              <w:t xml:space="preserve">b) le riz paddy, </w:t>
            </w:r>
            <w:r w:rsidRPr="005828C1">
              <w:rPr>
                <w:b/>
                <w:i/>
              </w:rPr>
              <w:t>toute la campagne</w:t>
            </w:r>
            <w:r w:rsidRPr="005828C1">
              <w: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c) la viande bovine, toute la campagne;</w:t>
            </w:r>
          </w:p>
        </w:tc>
        <w:tc>
          <w:tcPr>
            <w:tcW w:w="4876" w:type="dxa"/>
            <w:hideMark/>
          </w:tcPr>
          <w:p w:rsidR="002F2A46" w:rsidRPr="005828C1" w:rsidRDefault="002F2A46" w:rsidP="003A3553">
            <w:pPr>
              <w:pStyle w:val="Normal6"/>
              <w:rPr>
                <w:noProof/>
                <w:szCs w:val="24"/>
              </w:rPr>
            </w:pPr>
            <w:r w:rsidRPr="005828C1">
              <w:t>c) la viande bovine, toute la campagne;</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 xml:space="preserve">d) le beurre et le lait écrémé en poudre, </w:t>
            </w:r>
            <w:r w:rsidRPr="005828C1">
              <w:rPr>
                <w:b/>
                <w:i/>
              </w:rPr>
              <w:t>du 1</w:t>
            </w:r>
            <w:r w:rsidRPr="005828C1">
              <w:rPr>
                <w:b/>
                <w:i/>
                <w:vertAlign w:val="superscript"/>
              </w:rPr>
              <w:t>er</w:t>
            </w:r>
            <w:r w:rsidRPr="005828C1">
              <w:rPr>
                <w:b/>
                <w:i/>
              </w:rPr>
              <w:t xml:space="preserve"> mars au 30 septembre.</w:t>
            </w:r>
          </w:p>
        </w:tc>
        <w:tc>
          <w:tcPr>
            <w:tcW w:w="4876" w:type="dxa"/>
            <w:hideMark/>
          </w:tcPr>
          <w:p w:rsidR="002F2A46" w:rsidRPr="005828C1" w:rsidRDefault="002F2A46" w:rsidP="003A3553">
            <w:pPr>
              <w:pStyle w:val="Normal6"/>
              <w:rPr>
                <w:noProof/>
                <w:szCs w:val="24"/>
              </w:rPr>
            </w:pPr>
            <w:r w:rsidRPr="005828C1">
              <w:t xml:space="preserve">d) le beurre et le lait écrémé en poudre, </w:t>
            </w:r>
            <w:r w:rsidRPr="005828C1">
              <w:rPr>
                <w:b/>
                <w:i/>
              </w:rPr>
              <w:t>toute la campagne;</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e) la viande ovine, toute la campagne;</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f) la viande porcine, toute la campagne</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g) le sucre blanc, toute la campagne.»</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{PT}</w:t>
      </w:r>
      <w:r w:rsidRPr="00CD03D8">
        <w:rPr>
          <w:lang w:val="en-GB"/>
        </w:rPr>
        <w:t>pt</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(https://eur-lex.europa.eu/legal-content/FR/TXT/HTML/?uri=CELEX:02013R1308-20180101&amp;qid=1544002681050&amp;from=FR)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236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Annie Schreijer-Pierik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13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13, paragraphe 1, le point a),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 Au cours des périodes visées à l'article 12, l'intervention publique:</w:t>
            </w:r>
          </w:p>
        </w:tc>
        <w:tc>
          <w:tcPr>
            <w:tcW w:w="4876" w:type="dxa"/>
            <w:hideMark/>
          </w:tcPr>
          <w:p w:rsidR="002F2A46" w:rsidRPr="00421CE3" w:rsidRDefault="002F2A46" w:rsidP="003A3553">
            <w:pPr>
              <w:pStyle w:val="Normal6"/>
              <w:rPr>
                <w:noProof/>
                <w:szCs w:val="24"/>
              </w:rPr>
            </w:pPr>
            <w:r w:rsidRPr="00421CE3">
              <w:t>«1. Au cours des périodes visées à l'article 12, l'intervention publique:</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a) </w:t>
            </w:r>
            <w:r w:rsidRPr="00421CE3">
              <w:rPr>
                <w:b/>
                <w:i/>
              </w:rPr>
              <w:t>est</w:t>
            </w:r>
            <w:r w:rsidRPr="00421CE3">
              <w:t xml:space="preserve"> ouverte pour le froment (blé) tendre, le beurre et le lait écrémé en poudre;</w:t>
            </w:r>
          </w:p>
        </w:tc>
        <w:tc>
          <w:tcPr>
            <w:tcW w:w="4876" w:type="dxa"/>
            <w:hideMark/>
          </w:tcPr>
          <w:p w:rsidR="002F2A46" w:rsidRPr="00421CE3" w:rsidRDefault="002F2A46" w:rsidP="003A3553">
            <w:pPr>
              <w:pStyle w:val="Normal6"/>
              <w:rPr>
                <w:noProof/>
                <w:szCs w:val="24"/>
              </w:rPr>
            </w:pPr>
            <w:r w:rsidRPr="00421CE3">
              <w:t xml:space="preserve">a) </w:t>
            </w:r>
            <w:r w:rsidRPr="00421CE3">
              <w:rPr>
                <w:b/>
                <w:i/>
              </w:rPr>
              <w:t>peut être</w:t>
            </w:r>
            <w:r w:rsidRPr="00421CE3">
              <w:t xml:space="preserve"> ouverte</w:t>
            </w:r>
            <w:r w:rsidRPr="00421CE3">
              <w:rPr>
                <w:b/>
                <w:i/>
              </w:rPr>
              <w:t xml:space="preserve"> par la Commission</w:t>
            </w:r>
            <w:r w:rsidRPr="00421CE3">
              <w:t xml:space="preserve"> pour le froment (blé) tendre, le beurre et le lait écrémé en poudre;</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Des expérimentations récentes dans le secteur laitier ont montré que l’ouverture automatique de l’intervention publique peut avoir pour conséquence la réalisation de profits indus. Pour que l’intervention publique s’applique de manière correcte, il convient que son ouverture ne soit plus automatique et que la Commission ait au contraire la possibilité d’intervenir si nécessaire, comme c’est le cas pour tous les autres produits.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237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Jan Huitema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13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13, paragraphe 1, le point a),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a) est</w:t>
            </w:r>
            <w:r w:rsidRPr="00421CE3">
              <w:t xml:space="preserve"> ouverte pour le froment (blé) tendre, le beurre et le lait écrémé en poudre;</w:t>
            </w:r>
          </w:p>
        </w:tc>
        <w:tc>
          <w:tcPr>
            <w:tcW w:w="4876" w:type="dxa"/>
            <w:hideMark/>
          </w:tcPr>
          <w:p w:rsidR="002F2A46" w:rsidRPr="00421CE3" w:rsidRDefault="002F2A46" w:rsidP="003A3553">
            <w:pPr>
              <w:pStyle w:val="Normal6"/>
              <w:rPr>
                <w:noProof/>
                <w:szCs w:val="24"/>
              </w:rPr>
            </w:pPr>
            <w:r w:rsidRPr="00421CE3">
              <w:rPr>
                <w:b/>
                <w:i/>
              </w:rPr>
              <w:t>«a) peut être</w:t>
            </w:r>
            <w:r w:rsidRPr="00421CE3">
              <w:t xml:space="preserve"> ouverte</w:t>
            </w:r>
            <w:r w:rsidRPr="00421CE3">
              <w:rPr>
                <w:b/>
                <w:i/>
              </w:rPr>
              <w:t xml:space="preserve"> par la Commission</w:t>
            </w:r>
            <w:r w:rsidRPr="00421CE3">
              <w:t xml:space="preserve"> pour le froment (blé) tendre, le beurre et le lait écrémé en poudre;</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{EN}</w:t>
      </w:r>
      <w:r w:rsidRPr="00CD03D8">
        <w:rPr>
          <w:lang w:val="en-GB"/>
        </w:rPr>
        <w:t>en</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238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14</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bis)</w:t>
            </w:r>
            <w:r w:rsidRPr="00A53FF9">
              <w:rPr>
                <w:b/>
                <w:i/>
              </w:rPr>
              <w:tab/>
              <w:t>L'article 14 est modifié comme suit :</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Lorsque l'intervention publique est ouverte en application de l'article 13, paragraphe 1, les </w:t>
            </w:r>
            <w:r w:rsidRPr="00A53FF9">
              <w:rPr>
                <w:b/>
                <w:i/>
              </w:rPr>
              <w:t>mesures relatives</w:t>
            </w:r>
            <w:r w:rsidRPr="00A53FF9">
              <w:t xml:space="preserve"> à la fixation des prix d'achat pour les produits visés à l'article 11 </w:t>
            </w:r>
            <w:r w:rsidRPr="00A53FF9">
              <w:rPr>
                <w:b/>
                <w:i/>
              </w:rPr>
              <w:t>ainsi que, le cas échéant, les mesures relatives aux limitations quantitatives lorsque l'achat est effectué à un prix fixe</w:t>
            </w:r>
            <w:r w:rsidRPr="00A53FF9">
              <w:t xml:space="preserve"> sont adoptées par le Conseil conformément à l'article 43, paragraphe 3, du traité sur le fonctionnement de l'Union européenne.</w:t>
            </w:r>
          </w:p>
        </w:tc>
        <w:tc>
          <w:tcPr>
            <w:tcW w:w="4876" w:type="dxa"/>
            <w:hideMark/>
          </w:tcPr>
          <w:p w:rsidR="002F2A46" w:rsidRPr="00A53FF9" w:rsidRDefault="00CD03D8" w:rsidP="00CD03D8">
            <w:pPr>
              <w:pStyle w:val="Normal6"/>
              <w:rPr>
                <w:szCs w:val="24"/>
              </w:rPr>
            </w:pPr>
            <w:r>
              <w:t>«</w:t>
            </w:r>
            <w:r w:rsidR="002F2A46" w:rsidRPr="00A53FF9">
              <w:t xml:space="preserve">Lorsque l'intervention publique est ouverte en application de l'article 13, paragraphe 1, les </w:t>
            </w:r>
            <w:r w:rsidR="002F2A46" w:rsidRPr="00A53FF9">
              <w:rPr>
                <w:b/>
                <w:i/>
              </w:rPr>
              <w:t>modalités</w:t>
            </w:r>
            <w:r w:rsidR="002F2A46" w:rsidRPr="00A53FF9">
              <w:t xml:space="preserve"> à la fixation des prix d'achat pour les produits visés à l'article 11 sont adoptées par le Conseil conformément à l'article 43, paragraphe 3, du traité sur le fonctionnement de l'Union européenne.</w:t>
            </w:r>
            <w: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faire évoluer l'intervention pour permettre que les outils soient plus réactifs et plus efficaces.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239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14</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bis)</w:t>
            </w:r>
            <w:r w:rsidRPr="00A53FF9">
              <w:rPr>
                <w:b/>
                <w:i/>
              </w:rPr>
              <w:tab/>
              <w:t>L'article 14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Achats </w:t>
            </w:r>
            <w:r w:rsidRPr="00A53FF9">
              <w:rPr>
                <w:b/>
                <w:i/>
              </w:rPr>
              <w:t>à prix fixe ou</w:t>
            </w:r>
            <w:r w:rsidRPr="00A53FF9">
              <w:t xml:space="preserve"> dans le cadre d'une adjudication</w:t>
            </w:r>
          </w:p>
        </w:tc>
        <w:tc>
          <w:tcPr>
            <w:tcW w:w="4876" w:type="dxa"/>
            <w:hideMark/>
          </w:tcPr>
          <w:p w:rsidR="002F2A46" w:rsidRPr="00A53FF9" w:rsidRDefault="00CD03D8" w:rsidP="003A3553">
            <w:pPr>
              <w:pStyle w:val="Normal6"/>
              <w:rPr>
                <w:szCs w:val="24"/>
              </w:rPr>
            </w:pPr>
            <w:r>
              <w:t>«</w:t>
            </w:r>
            <w:r w:rsidR="002F2A46" w:rsidRPr="00A53FF9">
              <w:t>Achats dans le cadre d'une adjudication</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Lorsque l'intervention publique est ouverte en application de l'article 13, paragraphe 1, les </w:t>
            </w:r>
            <w:r w:rsidRPr="00A53FF9">
              <w:rPr>
                <w:b/>
                <w:i/>
              </w:rPr>
              <w:t>mesures</w:t>
            </w:r>
            <w:r w:rsidRPr="00A53FF9">
              <w:t xml:space="preserve"> relatives à la fixation des prix d'achat pour les produits visés à l'article 11 </w:t>
            </w:r>
            <w:r w:rsidRPr="00A53FF9">
              <w:rPr>
                <w:b/>
                <w:i/>
              </w:rPr>
              <w:t>ainsi que, le cas échéant, les mesures relatives aux limitations quantitatives lorsque l'achat est effectué à un prix fixe</w:t>
            </w:r>
            <w:r w:rsidRPr="00A53FF9">
              <w:t xml:space="preserve"> sont adoptées par le Conseil conformément à l'article 43, paragraphe 3, du traité sur le fonctionnement de l'Union européenne.</w:t>
            </w:r>
          </w:p>
        </w:tc>
        <w:tc>
          <w:tcPr>
            <w:tcW w:w="4876" w:type="dxa"/>
            <w:hideMark/>
          </w:tcPr>
          <w:p w:rsidR="002F2A46" w:rsidRPr="00A53FF9" w:rsidRDefault="002F2A46" w:rsidP="00CD03D8">
            <w:pPr>
              <w:pStyle w:val="Normal6"/>
              <w:rPr>
                <w:szCs w:val="24"/>
              </w:rPr>
            </w:pPr>
            <w:r w:rsidRPr="00A53FF9">
              <w:t xml:space="preserve">Lorsque l'intervention publique est ouverte en application de l'article 13, paragraphe 1, les </w:t>
            </w:r>
            <w:r w:rsidRPr="00A53FF9">
              <w:rPr>
                <w:b/>
                <w:i/>
              </w:rPr>
              <w:t>modalités</w:t>
            </w:r>
            <w:r w:rsidRPr="00A53FF9">
              <w:t xml:space="preserve"> relatives à la fixation des prix d'achat pour les produits visés à l'article 11 sont adoptées par le Conseil conformément à l'article 43, paragraphe 3, du traité sur le fonctionnement de l'Union européenne.</w:t>
            </w:r>
            <w:r w:rsidR="00CD03D8">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L'objectif de ces dispositions faisant évoluer l'intervention est de permettre aux outils d'intervention d'être plus réactifs, et plus efficaces, en complément de l'amendement proposé par le rapporteur ouvrant l'intervention toute l'année. L'intervention serait ainsi ouverte toute l'année, par adjudication, permettant notamment d'éviter les phénomènes d'anticipation.</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240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15 – paragraphe 1</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ter)</w:t>
            </w:r>
            <w:r w:rsidRPr="00A53FF9">
              <w:rPr>
                <w:b/>
                <w:i/>
              </w:rPr>
              <w:tab/>
              <w:t>A l'article 15, le paragraphe 1 est remplacé par le texte suivant :</w:t>
            </w:r>
          </w:p>
        </w:tc>
      </w:tr>
      <w:tr w:rsidR="002F2A46" w:rsidRPr="00A53FF9" w:rsidTr="003A3553">
        <w:trPr>
          <w:jc w:val="center"/>
        </w:trPr>
        <w:tc>
          <w:tcPr>
            <w:tcW w:w="4876" w:type="dxa"/>
            <w:hideMark/>
          </w:tcPr>
          <w:p w:rsidR="002F2A46" w:rsidRPr="00A53FF9" w:rsidRDefault="002F2A46" w:rsidP="003A3553">
            <w:pPr>
              <w:pStyle w:val="Normal6"/>
            </w:pPr>
            <w:r w:rsidRPr="00A53FF9">
              <w:t>1. On entend par «prix d'intervention publique»,</w:t>
            </w:r>
          </w:p>
        </w:tc>
        <w:tc>
          <w:tcPr>
            <w:tcW w:w="4876" w:type="dxa"/>
            <w:hideMark/>
          </w:tcPr>
          <w:p w:rsidR="002F2A46" w:rsidRPr="00A53FF9" w:rsidRDefault="002F2A46" w:rsidP="003A3553">
            <w:pPr>
              <w:pStyle w:val="Normal6"/>
              <w:rPr>
                <w:szCs w:val="24"/>
              </w:rPr>
            </w:pPr>
            <w:r w:rsidRPr="00A53FF9">
              <w:t>«1. On entend par «prix d'intervention publique», le prix maximal auquel les produits admissibles à l'intervention publique peuvent être achetés lorsque cet achat est effectué dans le cadre d'une adjudication.</w:t>
            </w:r>
            <w:r w:rsidR="00CD03D8">
              <w: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a) le prix auquel les produits sont achetés dans le cadre de l'intervention publique lorsque cet achat est effectué à un prix fixe; ou</w:t>
            </w:r>
          </w:p>
        </w:tc>
        <w:tc>
          <w:tcPr>
            <w:tcW w:w="4876" w:type="dxa"/>
            <w:hideMark/>
          </w:tcPr>
          <w:p w:rsidR="002F2A46" w:rsidRPr="00A53FF9" w:rsidRDefault="002F2A46" w:rsidP="003A3553">
            <w:pPr>
              <w:pStyle w:val="Normal6"/>
              <w:rPr>
                <w:szCs w:val="24"/>
              </w:rPr>
            </w:pPr>
          </w:p>
        </w:tc>
      </w:tr>
      <w:tr w:rsidR="002F2A46" w:rsidRPr="00A53FF9" w:rsidTr="003A3553">
        <w:trPr>
          <w:jc w:val="center"/>
        </w:trPr>
        <w:tc>
          <w:tcPr>
            <w:tcW w:w="4876" w:type="dxa"/>
            <w:hideMark/>
          </w:tcPr>
          <w:p w:rsidR="002F2A46" w:rsidRPr="00A53FF9" w:rsidRDefault="002F2A46" w:rsidP="003A3553">
            <w:pPr>
              <w:pStyle w:val="Normal6"/>
            </w:pPr>
            <w:r w:rsidRPr="00A53FF9">
              <w:rPr>
                <w:b/>
                <w:i/>
              </w:rPr>
              <w:t>b)</w:t>
            </w:r>
            <w:r w:rsidRPr="00A53FF9">
              <w:t xml:space="preserve"> le prix maximal auquel les produits admissibles à l'intervention publique peuvent être achetés lorsque cet achat est effectué dans le cadre d'une adjudication.</w:t>
            </w:r>
          </w:p>
        </w:tc>
        <w:tc>
          <w:tcPr>
            <w:tcW w:w="4876" w:type="dxa"/>
          </w:tcPr>
          <w:p w:rsidR="002F2A46" w:rsidRPr="00A53FF9" w:rsidRDefault="002F2A46" w:rsidP="003A3553">
            <w:pPr>
              <w:pStyle w:val="Normal6"/>
              <w:rPr>
                <w:szCs w:val="24"/>
              </w:rPr>
            </w:pP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faire évoluer l'intervention pour permettre que les outils soient plus réactifs et plus efficaces.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241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15 – paragraphe 1</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ter)</w:t>
            </w:r>
            <w:r w:rsidRPr="00A53FF9">
              <w:rPr>
                <w:b/>
                <w:i/>
              </w:rPr>
              <w:tab/>
              <w:t>L'article 15 paragraphe 1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1. On entend par </w:t>
            </w:r>
            <w:r w:rsidRPr="00A53FF9">
              <w:rPr>
                <w:b/>
                <w:i/>
              </w:rPr>
              <w:t>«</w:t>
            </w:r>
            <w:r w:rsidRPr="00A53FF9">
              <w:t>prix d'intervention publique</w:t>
            </w:r>
            <w:r w:rsidRPr="00A53FF9">
              <w:rPr>
                <w:b/>
                <w:i/>
              </w:rPr>
              <w:t>»</w:t>
            </w:r>
            <w:r w:rsidRPr="00A53FF9">
              <w:t>,</w:t>
            </w:r>
          </w:p>
        </w:tc>
        <w:tc>
          <w:tcPr>
            <w:tcW w:w="4876" w:type="dxa"/>
            <w:hideMark/>
          </w:tcPr>
          <w:p w:rsidR="002F2A46" w:rsidRPr="00A53FF9" w:rsidRDefault="002F2A46" w:rsidP="003A3553">
            <w:pPr>
              <w:pStyle w:val="Normal6"/>
              <w:rPr>
                <w:szCs w:val="24"/>
              </w:rPr>
            </w:pPr>
            <w:r w:rsidRPr="00A53FF9">
              <w:t xml:space="preserve">«1. On entend par </w:t>
            </w:r>
            <w:r w:rsidRPr="00A53FF9">
              <w:rPr>
                <w:b/>
                <w:i/>
              </w:rPr>
              <w:t>"</w:t>
            </w:r>
            <w:r w:rsidRPr="00A53FF9">
              <w:t>prix d'intervention publique</w:t>
            </w:r>
            <w:r w:rsidRPr="00A53FF9">
              <w:rPr>
                <w:b/>
                <w:i/>
              </w:rPr>
              <w:t>"</w:t>
            </w:r>
            <w:r w:rsidRPr="00A53FF9">
              <w:t>, le prix maximal auquel les produits admissibles à l'intervention publique peuvent être achetés.</w:t>
            </w:r>
            <w:r w:rsidR="00CD03D8">
              <w: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a) le prix auquel les produits sont achetés dans le cadre de l'intervention publique lorsque cet achat est effectué à un prix fixe; ou</w:t>
            </w:r>
          </w:p>
        </w:tc>
        <w:tc>
          <w:tcPr>
            <w:tcW w:w="4876" w:type="dxa"/>
            <w:hideMark/>
          </w:tcPr>
          <w:p w:rsidR="002F2A46" w:rsidRPr="00A53FF9" w:rsidRDefault="002F2A46" w:rsidP="003A3553">
            <w:pPr>
              <w:pStyle w:val="Normal6"/>
              <w:rPr>
                <w:szCs w:val="24"/>
              </w:rPr>
            </w:pPr>
          </w:p>
        </w:tc>
      </w:tr>
      <w:tr w:rsidR="002F2A46" w:rsidRPr="00A53FF9" w:rsidTr="003A3553">
        <w:trPr>
          <w:jc w:val="center"/>
        </w:trPr>
        <w:tc>
          <w:tcPr>
            <w:tcW w:w="4876" w:type="dxa"/>
            <w:hideMark/>
          </w:tcPr>
          <w:p w:rsidR="002F2A46" w:rsidRPr="00A53FF9" w:rsidRDefault="002F2A46" w:rsidP="003A3553">
            <w:pPr>
              <w:pStyle w:val="Normal6"/>
            </w:pPr>
            <w:r w:rsidRPr="00A53FF9">
              <w:rPr>
                <w:b/>
                <w:i/>
              </w:rPr>
              <w:t>b)</w:t>
            </w:r>
            <w:r w:rsidRPr="00A53FF9">
              <w:t xml:space="preserve"> le prix maximal auquel les produits admissibles à l'intervention publique peuvent être achetés </w:t>
            </w:r>
            <w:r w:rsidRPr="00A53FF9">
              <w:rPr>
                <w:b/>
                <w:i/>
              </w:rPr>
              <w:t>lorsque cet achat est effectué dans le cadre d'une adjudication</w:t>
            </w:r>
            <w:r w:rsidRPr="00A53FF9">
              <w:t>.</w:t>
            </w:r>
          </w:p>
        </w:tc>
        <w:tc>
          <w:tcPr>
            <w:tcW w:w="4876" w:type="dxa"/>
          </w:tcPr>
          <w:p w:rsidR="002F2A46" w:rsidRPr="00A53FF9" w:rsidRDefault="002F2A46" w:rsidP="003A3553">
            <w:pPr>
              <w:pStyle w:val="Normal6"/>
              <w:rPr>
                <w:szCs w:val="24"/>
              </w:rPr>
            </w:pP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L'objectif de ces dispositions faisant évoluer l'intervention est de permettre aux outils d'intervention d'être plus réactifs, et plus efficaces, en complément de l'amendement proposé par le rapporteur ouvrant l'intervention toute l'année. L'intervention serait ainsi ouverte toute l'année, par adjudication, permettant notamment d'éviter les phénomènes d'anticipation.</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242</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quater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15 – paragraphe 2</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quater)</w:t>
            </w:r>
            <w:r w:rsidRPr="00A53FF9">
              <w:rPr>
                <w:b/>
                <w:i/>
              </w:rPr>
              <w:tab/>
              <w:t>A l'article 15, le paragraphe 2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2. Les mesures</w:t>
            </w:r>
            <w:r w:rsidRPr="00A53FF9">
              <w:t xml:space="preserve"> relatives à la fixation du niveau du prix d'intervention publique, y compris les montants des augmentations et des réductions, sont adoptées par le Conseil conformément à l'article 43, paragraphe 3, du traité sur le fonctionnement de l'Union européenne.</w:t>
            </w:r>
          </w:p>
        </w:tc>
        <w:tc>
          <w:tcPr>
            <w:tcW w:w="4876" w:type="dxa"/>
            <w:hideMark/>
          </w:tcPr>
          <w:p w:rsidR="002F2A46" w:rsidRPr="00A53FF9" w:rsidRDefault="002F2A46" w:rsidP="003A3553">
            <w:pPr>
              <w:pStyle w:val="Normal6"/>
              <w:rPr>
                <w:szCs w:val="24"/>
              </w:rPr>
            </w:pPr>
            <w:r w:rsidRPr="00A53FF9">
              <w:t>«</w:t>
            </w:r>
            <w:r w:rsidRPr="00A53FF9">
              <w:rPr>
                <w:b/>
                <w:i/>
              </w:rPr>
              <w:t>2. Les modalités</w:t>
            </w:r>
            <w:r w:rsidRPr="00A53FF9">
              <w:t xml:space="preserve"> relatives à la fixation du niveau du prix d'intervention publique, y compris les montants des augmentations et des réductions, sont adoptées par le Conseil conformément à l'article 43, paragraphe 3, du traité sur le fonctionnement de l'Union européenne.</w:t>
            </w:r>
            <w:r w:rsidR="00CD03D8">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faire évoluer l'intervention pour permettre que les outils soient plus réactifs et plus efficaces.</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243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3 quater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15 – paragraphe 2</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quater)</w:t>
            </w:r>
            <w:r w:rsidRPr="00A53FF9">
              <w:rPr>
                <w:b/>
                <w:i/>
              </w:rPr>
              <w:tab/>
              <w:t>L'article 15 paragraphe 2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2. Les mesures</w:t>
            </w:r>
            <w:r w:rsidRPr="00A53FF9">
              <w:t xml:space="preserve"> relatives à la fixation du niveau du prix d'intervention publique, y compris les montants des augmentations et des réductions, sont adoptées par le Conseil conformément à l'article 43, paragraphe 3, du traité sur le fonctionnement de l'Union européenne</w:t>
            </w:r>
          </w:p>
        </w:tc>
        <w:tc>
          <w:tcPr>
            <w:tcW w:w="4876" w:type="dxa"/>
            <w:hideMark/>
          </w:tcPr>
          <w:p w:rsidR="002F2A46" w:rsidRPr="00A53FF9" w:rsidRDefault="002F2A46" w:rsidP="003A3553">
            <w:pPr>
              <w:pStyle w:val="Normal6"/>
              <w:rPr>
                <w:szCs w:val="24"/>
              </w:rPr>
            </w:pPr>
            <w:r w:rsidRPr="00A53FF9">
              <w:t>«</w:t>
            </w:r>
            <w:r w:rsidRPr="00A53FF9">
              <w:rPr>
                <w:b/>
                <w:i/>
              </w:rPr>
              <w:t>2. Les modalités</w:t>
            </w:r>
            <w:r w:rsidRPr="00A53FF9">
              <w:t xml:space="preserve"> relatives à la fixation du niveau du prix d'intervention publique, y compris les montants des augmentations et des réductions, sont adoptées par le Conseil conformément à l'article 43, paragraphe 3, du traité sur le fonctionnement de l'Union européenne</w:t>
            </w:r>
            <w:r w:rsidR="00CD03D8">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L'objectif de ces dispositions faisant évoluer l'intervention est de permettre aux outils d'intervention d'être plus réactifs, et plus efficaces, en complément de l'amendement proposé par le rapporteur ouvrant l'intervention toute l'année. L'intervention serait ainsi ouverte toute l'année, par adjudication, permettant notamment d'éviter les phénomènes d'anticipation.</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16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16, le paragraphe 1 est remplacé par le texte suivant: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 L'écoulement des produits achetés dans le cadre de l'intervention publique a lieu dans des conditions telles que:</w:t>
            </w:r>
          </w:p>
        </w:tc>
        <w:tc>
          <w:tcPr>
            <w:tcW w:w="4876" w:type="dxa"/>
            <w:hideMark/>
          </w:tcPr>
          <w:p w:rsidR="002F2A46" w:rsidRPr="00421CE3" w:rsidRDefault="002F2A46" w:rsidP="003A3553">
            <w:pPr>
              <w:pStyle w:val="Normal6"/>
              <w:rPr>
                <w:noProof/>
                <w:szCs w:val="24"/>
              </w:rPr>
            </w:pPr>
            <w:r w:rsidRPr="00421CE3">
              <w:t>«1. L'écoulement des produits achetés dans le cadre de l'intervention publique a lieu dans des conditions telles que:</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 toute perturbation du marché soit évitée;</w:t>
            </w:r>
          </w:p>
        </w:tc>
        <w:tc>
          <w:tcPr>
            <w:tcW w:w="4876" w:type="dxa"/>
            <w:hideMark/>
          </w:tcPr>
          <w:p w:rsidR="002F2A46" w:rsidRPr="00421CE3" w:rsidRDefault="002F2A46" w:rsidP="003A3553">
            <w:pPr>
              <w:pStyle w:val="Normal6"/>
              <w:rPr>
                <w:noProof/>
                <w:szCs w:val="24"/>
              </w:rPr>
            </w:pPr>
            <w:r w:rsidRPr="00421CE3">
              <w:t xml:space="preserve">a) toute perturbation du marché </w:t>
            </w:r>
            <w:r w:rsidRPr="00421CE3">
              <w:rPr>
                <w:b/>
                <w:i/>
              </w:rPr>
              <w:t xml:space="preserve">de l’Union ou d’un pays tiers </w:t>
            </w:r>
            <w:r w:rsidRPr="00421CE3">
              <w:t>soit évitée;</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 l’égalité d’accès aux marchandises ainsi que l’égalité de traitement des acheteurs soient assurées</w:t>
            </w:r>
            <w:r w:rsidRPr="00421CE3">
              <w:rPr>
                <w:b/>
                <w:i/>
              </w:rPr>
              <w:t>, et</w:t>
            </w:r>
          </w:p>
        </w:tc>
        <w:tc>
          <w:tcPr>
            <w:tcW w:w="4876" w:type="dxa"/>
            <w:hideMark/>
          </w:tcPr>
          <w:p w:rsidR="002F2A46" w:rsidRPr="00421CE3" w:rsidRDefault="002F2A46" w:rsidP="003A3553">
            <w:pPr>
              <w:pStyle w:val="Normal6"/>
              <w:rPr>
                <w:noProof/>
                <w:szCs w:val="24"/>
              </w:rPr>
            </w:pPr>
            <w:r w:rsidRPr="00421CE3">
              <w:t>b) l’égalité d’accès aux marchandises ainsi que l’égalité de traitement des acheteurs soient assurées</w:t>
            </w:r>
            <w:r w:rsidRPr="00421CE3">
              <w:rPr>
                <w:b/>
                <w:i/>
              </w:rPr>
              <w: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 xml:space="preserve">c) </w:t>
            </w:r>
            <w:r w:rsidRPr="00421CE3">
              <w:t>les engagements résultant d’accords internationaux conclus conformément au traité sur le fonctionnement de l’Union européenne soient respectés.</w:t>
            </w:r>
          </w:p>
        </w:tc>
        <w:tc>
          <w:tcPr>
            <w:tcW w:w="4876" w:type="dxa"/>
            <w:hideMark/>
          </w:tcPr>
          <w:p w:rsidR="002F2A46" w:rsidRPr="00421CE3" w:rsidRDefault="002F2A46" w:rsidP="003A3553">
            <w:pPr>
              <w:pStyle w:val="Normal6"/>
              <w:rPr>
                <w:noProof/>
                <w:szCs w:val="24"/>
              </w:rPr>
            </w:pPr>
            <w:r w:rsidRPr="00421CE3">
              <w:rPr>
                <w:b/>
                <w:i/>
              </w:rPr>
              <w:t>c) la vente de produits en dessous du prix d’intervention publique pertinent soit évitée;</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 xml:space="preserve">d) </w:t>
            </w:r>
            <w:r w:rsidRPr="00421CE3">
              <w:t>les engagements résultant d’accords internationaux conclus conformément au traité sur le fonctionnement de l’Union européenne soient respectés</w:t>
            </w:r>
            <w:r w:rsidRPr="00421CE3">
              <w:rPr>
                <w:b/>
                <w:i/>
              </w:rPr>
              <w:t>; et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e) le principe de cohérence des politiques au service du développement visé à l’article 208 du traité FUE soit respecté.»;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{EN}</w:t>
      </w:r>
      <w:r w:rsidRPr="00CD03D8">
        <w:rPr>
          <w:lang w:val="en-GB"/>
        </w:rPr>
        <w:t>en</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Des dispositions sont ajoutées pour garantir que l’écoulement des stocks d’intervention publique respecte la cohérence des politiques au service du développement visé à l’article 208 du traité FUE (point e)). En particulier, les produits en question ne doivent engendrer de perturbations ni sur le marché d’un pays tiers ni sur celui de l’Union (point a)). Enfin, les produits ne doivent pas être cédés à un prix inférieur au prix d’intervention publique, qu'il s’agisse d’un prix fixe conformément à l’article 15, paragraphe 1, point a), ou du prix maximal conformément à l’article 15, paragraphe 1, point b).</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Matt Carthy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16 – paragraphe 3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16, le paragraphe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 Les États membres publient des informations sur l’identité des entreprises qui ont recouru à l’intervention publique ainsi que des acheteurs du stock d’intervention publique.»;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17 – alinéa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ter)</w:t>
            </w:r>
            <w:r w:rsidRPr="00421CE3">
              <w:rPr>
                <w:b/>
                <w:i/>
              </w:rPr>
              <w:tab/>
              <w:t>à l’article 17, le point b)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 huile d’olive;</w:t>
            </w:r>
          </w:p>
        </w:tc>
        <w:tc>
          <w:tcPr>
            <w:tcW w:w="4876" w:type="dxa"/>
            <w:hideMark/>
          </w:tcPr>
          <w:p w:rsidR="002F2A46" w:rsidRPr="00421CE3" w:rsidRDefault="002F2A46" w:rsidP="003A3553">
            <w:pPr>
              <w:pStyle w:val="Normal6"/>
              <w:rPr>
                <w:noProof/>
                <w:szCs w:val="24"/>
              </w:rPr>
            </w:pPr>
            <w:r w:rsidRPr="00421CE3">
              <w:rPr>
                <w:b/>
                <w:i/>
              </w:rPr>
              <w:t>«</w:t>
            </w:r>
            <w:r w:rsidRPr="00421CE3">
              <w:t>(b) huile d’olive</w:t>
            </w:r>
            <w:r w:rsidRPr="00421CE3">
              <w:rPr>
                <w:b/>
                <w:i/>
              </w:rPr>
              <w:t xml:space="preserve"> et olives de table</w:t>
            </w:r>
            <w:r w:rsidRPr="00421CE3">
              <w:t>;</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quater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17 – alinéa 1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quater)</w:t>
            </w:r>
            <w:r w:rsidRPr="00421CE3">
              <w:rPr>
                <w:b/>
                <w:i/>
              </w:rPr>
              <w:tab/>
              <w:t>à l’article 17, un nouvel alinéa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L’aide au stockage privé est octroyée pour le beurre produit à partir de crème obtenue directement et exclusivement à partir de lait de vache.</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17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ter)</w:t>
            </w:r>
            <w:r w:rsidRPr="00421CE3">
              <w:rPr>
                <w:b/>
                <w:i/>
              </w:rPr>
              <w:tab/>
              <w:t>à l’article 17,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bis) riz.</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249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17 – alinéa 1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bis)</w:t>
            </w:r>
            <w:r w:rsidRPr="00421CE3">
              <w:rPr>
                <w:b/>
                <w:i/>
              </w:rPr>
              <w:tab/>
              <w:t>à l’article 17, alinéa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bis) riz.</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250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Esther Herranz García, Ramón Luis Valcárcel Siso, Gabriel Mato, Agustín Díaz de Mera García Consuegra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3 quinquies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Partie II – titre I – chapitre I – section 3 bis (nouvelle) – article 18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quinquies)</w:t>
            </w:r>
            <w:r w:rsidRPr="00094D6B">
              <w:rPr>
                <w:b/>
                <w:i/>
              </w:rPr>
              <w:tab/>
              <w:t>à la partie II, titre I, chapitre I, section 3 bis, l’article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«Mesures d’alerte sur le marché intérieur</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Un observatoire européen du marché des produits agricoles et d’élevage est instauré. Il fournit tous les mois des informations sur l’évolution de la production, les importations, les exportations, les prix perçus par les producteurs, les coûts de production et les marges d'un bout à l’autre de la filière alimentaire. Cet observatoire permet de disposer d’informations harmonisées pour chaque État membre. Il comporte des mécanismes d’alerte en vue de prévenir les crises sur le marché et d’appliquer les mesures visées à l’article 219.»;</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La politique agricole commune doit comporter, dans ses objectifs, des éléments objectifs d’analyse de la situation sur les marchés à des fins de prévention des crises sectorielles.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3 quinquies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19 – paragraphe 6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(3 quinquies)</w:t>
            </w:r>
            <w:r w:rsidRPr="00421CE3">
              <w:rPr>
                <w:b/>
                <w:i/>
              </w:rPr>
              <w:tab/>
              <w:t>à l’article 19, le paragraphe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6 bis. Pour le secteur de l’olive et de l’huile d’olive, la Commission fixe des seuils de référence pour le stockage privé au début de chaque campagne.</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Fredrick Federley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a</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Partie II – titre I – chapitre II – titre</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(a)</w:t>
            </w:r>
            <w:r w:rsidRPr="00421CE3">
              <w:rPr>
                <w:b/>
                <w:i/>
              </w:rPr>
              <w:tab/>
              <w:t>le titre est remplacé par le texte suivant:</w:t>
            </w:r>
          </w:p>
        </w:tc>
        <w:tc>
          <w:tcPr>
            <w:tcW w:w="4876" w:type="dxa"/>
            <w:hideMark/>
          </w:tcPr>
          <w:p w:rsidR="002F2A46" w:rsidRPr="00421CE3" w:rsidRDefault="002F2A46" w:rsidP="003A3553">
            <w:pPr>
              <w:pStyle w:val="Normal6"/>
              <w:rPr>
                <w:noProof/>
                <w:szCs w:val="24"/>
              </w:rPr>
            </w:pPr>
            <w:r w:rsidRPr="00421CE3">
              <w:rPr>
                <w:b/>
                <w:i/>
              </w:rPr>
              <w:t>supprimé</w:t>
            </w:r>
          </w:p>
        </w:tc>
      </w:tr>
      <w:tr w:rsidR="002F2A46" w:rsidRPr="00A53FF9" w:rsidTr="003A3553">
        <w:trPr>
          <w:jc w:val="center"/>
        </w:trPr>
        <w:tc>
          <w:tcPr>
            <w:tcW w:w="4876" w:type="dxa"/>
            <w:hideMark/>
          </w:tcPr>
          <w:p w:rsidR="002F2A46" w:rsidRPr="00421CE3" w:rsidRDefault="002F2A46" w:rsidP="003A3553">
            <w:pPr>
              <w:pStyle w:val="Normal6"/>
              <w:rPr>
                <w:noProof/>
              </w:rPr>
            </w:pP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CD03D8" w:rsidP="003A3553">
            <w:pPr>
              <w:pStyle w:val="Normal6"/>
              <w:rPr>
                <w:noProof/>
              </w:rPr>
            </w:pPr>
            <w:r w:rsidRPr="00421CE3">
              <w:rPr>
                <w:b/>
                <w:i/>
              </w:rPr>
              <w:t>«</w:t>
            </w:r>
            <w:r w:rsidR="002F2A46" w:rsidRPr="00421CE3">
              <w:rPr>
                <w:b/>
                <w:i/>
              </w:rPr>
              <w:t>CHAPITRE II</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Aide à la fourniture de fruits et légumes ainsi que de lait et de produits laitiers aux établissements scolaires</w:t>
            </w:r>
            <w:r w:rsidR="00CD03D8" w:rsidRPr="00421CE3">
              <w:rPr>
                <w:b/>
                <w:i/>
              </w:rPr>
              <w: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p>
        </w:tc>
        <w:tc>
          <w:tcPr>
            <w:tcW w:w="4876" w:type="dxa"/>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253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4 – sous-point a</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Partie II – titre II – chapitre II – section I</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rPr>
                <w:b/>
                <w:i/>
              </w:rPr>
              <w:t>Aide à la fourniture de fruits et légumes ainsi que de lait et de produits laitiers aux établissements scolaires;</w:t>
            </w:r>
          </w:p>
        </w:tc>
        <w:tc>
          <w:tcPr>
            <w:tcW w:w="4876" w:type="dxa"/>
            <w:hideMark/>
          </w:tcPr>
          <w:p w:rsidR="002F2A46" w:rsidRPr="00A53FF9" w:rsidRDefault="002F2A46" w:rsidP="003A3553">
            <w:pPr>
              <w:pStyle w:val="Normal6"/>
              <w:rPr>
                <w:szCs w:val="24"/>
              </w:rPr>
            </w:pPr>
            <w:r w:rsidRPr="00A53FF9">
              <w:rPr>
                <w:b/>
                <w:i/>
              </w:rPr>
              <w:t>supprimé</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Les programmes scolaires actuellement intégrés dans l'OCM s s'inscrivent dans le cadre d’un programme éducatif plus large consacré à l’agriculture européenne et aux bénéfices d’une alimentation saine. Par souci de cohérence avec les autres interventions sectorielles, intégrées dans le règlement sur les plans stratégiques, il est proposé l'intégration des programmes scolaires de l'OCM dans la stratégie générale d'intervention de l’État membre et donc dans le règlement « plans stratégiques »</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Fredrick Federley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b</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Partie II – titre I – chapitre II – section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(b)</w:t>
            </w:r>
            <w:r w:rsidRPr="00421CE3">
              <w:rPr>
                <w:b/>
                <w:i/>
              </w:rPr>
              <w:tab/>
              <w:t>le titre «Section 1» et son intitulé sont supprimés;</w:t>
            </w:r>
          </w:p>
        </w:tc>
        <w:tc>
          <w:tcPr>
            <w:tcW w:w="4876" w:type="dxa"/>
            <w:hideMark/>
          </w:tcPr>
          <w:p w:rsidR="002F2A46" w:rsidRPr="00421CE3" w:rsidRDefault="002F2A46" w:rsidP="003A3553">
            <w:pPr>
              <w:pStyle w:val="Normal6"/>
              <w:rPr>
                <w:noProof/>
                <w:szCs w:val="24"/>
              </w:rPr>
            </w:pPr>
            <w:r w:rsidRPr="00421CE3">
              <w:rPr>
                <w:b/>
                <w:i/>
              </w:rPr>
              <w:t>supprimé</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Fredrick Federley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a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Partie II – titre I – chapitre II – section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 bis)</w:t>
            </w:r>
            <w:r w:rsidRPr="00421CE3">
              <w:rPr>
                <w:b/>
                <w:i/>
              </w:rPr>
              <w:tab/>
              <w:t>la section 1 couvrant les articles 22 à 28 est supprimée;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Fredrick Federley</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Partie II – titre I – chapitre II – section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(c)</w:t>
            </w:r>
            <w:r w:rsidRPr="00421CE3">
              <w:rPr>
                <w:b/>
                <w:i/>
              </w:rPr>
              <w:tab/>
              <w:t>l’article 23 bis est modifié comme suit:</w:t>
            </w:r>
          </w:p>
        </w:tc>
        <w:tc>
          <w:tcPr>
            <w:tcW w:w="4876" w:type="dxa"/>
            <w:hideMark/>
          </w:tcPr>
          <w:p w:rsidR="002F2A46" w:rsidRPr="00421CE3" w:rsidRDefault="002F2A46" w:rsidP="003A3553">
            <w:pPr>
              <w:pStyle w:val="Normal6"/>
              <w:rPr>
                <w:noProof/>
                <w:szCs w:val="24"/>
              </w:rPr>
            </w:pPr>
            <w:r w:rsidRPr="00421CE3">
              <w:rPr>
                <w:b/>
                <w:i/>
              </w:rPr>
              <w:t>supprimé</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w:t>
            </w:r>
            <w:r w:rsidRPr="00421CE3">
              <w:rPr>
                <w:b/>
                <w:i/>
              </w:rPr>
              <w:tab/>
              <w:t>le paragraphe 1 est remplacé par le texte suivant: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CD03D8" w:rsidP="003A3553">
            <w:pPr>
              <w:pStyle w:val="Normal6"/>
              <w:rPr>
                <w:noProof/>
              </w:rPr>
            </w:pPr>
            <w:r w:rsidRPr="00421CE3">
              <w:rPr>
                <w:b/>
                <w:i/>
              </w:rPr>
              <w:t>«</w:t>
            </w:r>
            <w:r w:rsidR="002F2A46" w:rsidRPr="00421CE3">
              <w:rPr>
                <w:b/>
                <w:i/>
              </w:rPr>
              <w:t>1.</w:t>
            </w:r>
            <w:r w:rsidR="002F2A46" w:rsidRPr="00421CE3">
              <w:rPr>
                <w:b/>
                <w:i/>
              </w:rPr>
              <w:tab/>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Dans cette limite globale, l'aide ne dépasse pas:</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a)</w:t>
            </w:r>
            <w:r w:rsidRPr="00421CE3">
              <w:rPr>
                <w:b/>
                <w:i/>
              </w:rPr>
              <w:tab/>
              <w:t>pour les fruits et légumes à l'école: 130 608 466 EUR par année scolaire;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b)</w:t>
            </w:r>
            <w:r w:rsidRPr="00421CE3">
              <w:rPr>
                <w:b/>
                <w:i/>
              </w:rPr>
              <w:tab/>
              <w:t>pour le lait à l'école: 90 195 669 EUR par année scolaire;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ii)</w:t>
            </w:r>
            <w:r w:rsidRPr="00421CE3">
              <w:rPr>
                <w:b/>
                <w:i/>
              </w:rPr>
              <w:tab/>
              <w:t>au paragraphe 2, troisième alinéa, la dernière phrase est supprimée;</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iii)</w:t>
            </w:r>
            <w:r w:rsidRPr="00421CE3">
              <w:rPr>
                <w:b/>
                <w:i/>
              </w:rPr>
              <w:tab/>
              <w:t>le paragraphe 4 est remplacé par le texte suivant: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4.</w:t>
            </w:r>
            <w:r w:rsidRPr="00421CE3">
              <w:rPr>
                <w:b/>
                <w:i/>
              </w:rPr>
              <w:tab/>
              <w:t>Sans dépasser la limite globale de 220 804 135 EUR établie au paragraphe 1, tout État membre peut transférer, une fois par année scolaire, jusqu'à 20 % de l'une ou l'autre de ses enveloppes indicatives.</w:t>
            </w:r>
            <w:r w:rsidR="00CD03D8" w:rsidRPr="00421CE3">
              <w:rPr>
                <w:b/>
                <w:i/>
              </w:rPr>
              <w:t>»;</w:t>
            </w:r>
          </w:p>
        </w:tc>
        <w:tc>
          <w:tcPr>
            <w:tcW w:w="4876" w:type="dxa"/>
          </w:tcPr>
          <w:p w:rsidR="002F2A46" w:rsidRPr="00421CE3" w:rsidRDefault="002F2A46" w:rsidP="003A3553">
            <w:pPr>
              <w:pStyle w:val="Normal6"/>
              <w:rPr>
                <w:noProof/>
                <w:szCs w:val="24"/>
              </w:rPr>
            </w:pPr>
          </w:p>
        </w:tc>
      </w:tr>
      <w:tr w:rsidR="002F2A46" w:rsidRPr="00A53FF9" w:rsidTr="003A3553">
        <w:trPr>
          <w:jc w:val="center"/>
        </w:trPr>
        <w:tc>
          <w:tcPr>
            <w:tcW w:w="4876" w:type="dxa"/>
            <w:hideMark/>
          </w:tcPr>
          <w:p w:rsidR="002F2A46" w:rsidRPr="00421CE3" w:rsidRDefault="002F2A46" w:rsidP="003A3553">
            <w:pPr>
              <w:pStyle w:val="Normal6"/>
              <w:rPr>
                <w:noProof/>
              </w:rPr>
            </w:pPr>
          </w:p>
        </w:tc>
        <w:tc>
          <w:tcPr>
            <w:tcW w:w="4876" w:type="dxa"/>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257</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23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i)</w:t>
            </w:r>
            <w:r w:rsidRPr="00094D6B">
              <w:rPr>
                <w:b/>
                <w:i/>
              </w:rPr>
              <w:tab/>
              <w:t>le paragraphe 1 est remplacé par le texte suivant:</w:t>
            </w:r>
          </w:p>
        </w:tc>
        <w:tc>
          <w:tcPr>
            <w:tcW w:w="4876" w:type="dxa"/>
            <w:hideMark/>
          </w:tcPr>
          <w:p w:rsidR="002F2A46" w:rsidRPr="00094D6B" w:rsidRDefault="002F2A46" w:rsidP="003A3553">
            <w:pPr>
              <w:pStyle w:val="Normal6"/>
              <w:rPr>
                <w:noProof/>
                <w:szCs w:val="24"/>
              </w:rPr>
            </w:pPr>
            <w:r w:rsidRPr="00094D6B">
              <w:rPr>
                <w:b/>
                <w:i/>
              </w:rPr>
              <w:t>supprimé</w:t>
            </w:r>
          </w:p>
        </w:tc>
      </w:tr>
      <w:tr w:rsidR="002F2A46" w:rsidRPr="00A53FF9" w:rsidTr="003A3553">
        <w:trPr>
          <w:jc w:val="center"/>
        </w:trPr>
        <w:tc>
          <w:tcPr>
            <w:tcW w:w="4876" w:type="dxa"/>
            <w:hideMark/>
          </w:tcPr>
          <w:p w:rsidR="002F2A46" w:rsidRPr="00094D6B" w:rsidRDefault="002F2A46" w:rsidP="003A3553">
            <w:pPr>
              <w:pStyle w:val="Normal6"/>
              <w:rPr>
                <w:noProof/>
              </w:rPr>
            </w:pP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«1.</w:t>
            </w:r>
            <w:r w:rsidRPr="00094D6B">
              <w:rPr>
                <w:b/>
                <w:i/>
              </w:rPr>
              <w:tab/>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Dans cette limite globale, l'aide ne dépasse pas:</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a)</w:t>
            </w:r>
            <w:r w:rsidRPr="00094D6B">
              <w:rPr>
                <w:b/>
                <w:i/>
              </w:rPr>
              <w:tab/>
              <w:t>pour les fruits et légumes à l'école: 130 608 466 EUR par année scolaire;</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b)</w:t>
            </w:r>
            <w:r w:rsidRPr="00094D6B">
              <w:rPr>
                <w:b/>
                <w:i/>
              </w:rPr>
              <w:tab/>
              <w:t>pour le lait à l'école: 90 195 669 EUR par année scolaire;»</w:t>
            </w:r>
          </w:p>
        </w:tc>
        <w:tc>
          <w:tcPr>
            <w:tcW w:w="4876" w:type="dxa"/>
          </w:tcPr>
          <w:p w:rsidR="002F2A46" w:rsidRPr="00094D6B" w:rsidRDefault="002F2A46" w:rsidP="003A3553">
            <w:pPr>
              <w:pStyle w:val="Normal6"/>
              <w:rPr>
                <w:noProof/>
                <w:szCs w:val="24"/>
              </w:rPr>
            </w:pPr>
          </w:p>
        </w:tc>
      </w:tr>
      <w:tr w:rsidR="002F2A46" w:rsidRPr="00A53FF9" w:rsidTr="003A3553">
        <w:trPr>
          <w:jc w:val="center"/>
        </w:trPr>
        <w:tc>
          <w:tcPr>
            <w:tcW w:w="4876" w:type="dxa"/>
            <w:hideMark/>
          </w:tcPr>
          <w:p w:rsidR="002F2A46" w:rsidRPr="00094D6B" w:rsidRDefault="002F2A46" w:rsidP="003A3553">
            <w:pPr>
              <w:pStyle w:val="Normal6"/>
              <w:rPr>
                <w:noProof/>
              </w:rPr>
            </w:pPr>
          </w:p>
        </w:tc>
        <w:tc>
          <w:tcPr>
            <w:tcW w:w="4876" w:type="dxa"/>
          </w:tcPr>
          <w:p w:rsidR="002F2A46" w:rsidRPr="00094D6B" w:rsidRDefault="002F2A46" w:rsidP="003A3553">
            <w:pPr>
              <w:pStyle w:val="Normal6"/>
              <w:rPr>
                <w:noProof/>
                <w:szCs w:val="24"/>
              </w:rPr>
            </w:pP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Il est proposé de maintenir le niveau actuel de financement des deux régimes.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258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220</w:t>
            </w:r>
            <w:r w:rsidRPr="00421CE3">
              <w:t> </w:t>
            </w:r>
            <w:r w:rsidRPr="00421CE3">
              <w:rPr>
                <w:b/>
                <w:i/>
              </w:rPr>
              <w:t>804</w:t>
            </w:r>
            <w:r w:rsidRPr="00421CE3">
              <w:t> </w:t>
            </w:r>
            <w:r w:rsidRPr="00421CE3">
              <w:rPr>
                <w:b/>
                <w:i/>
              </w:rPr>
              <w:t>135</w:t>
            </w:r>
            <w:r w:rsidRPr="00421CE3">
              <w:t> EUR par année scolaire.</w:t>
            </w:r>
          </w:p>
        </w:tc>
        <w:tc>
          <w:tcPr>
            <w:tcW w:w="4876" w:type="dxa"/>
            <w:hideMark/>
          </w:tcPr>
          <w:p w:rsidR="002F2A46" w:rsidRPr="00421CE3" w:rsidRDefault="002F2A46" w:rsidP="003A3553">
            <w:pPr>
              <w:pStyle w:val="Normal6"/>
              <w:rPr>
                <w:noProof/>
                <w:szCs w:val="24"/>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250</w:t>
            </w:r>
            <w:r w:rsidRPr="00421CE3">
              <w:t> </w:t>
            </w:r>
            <w:r w:rsidRPr="00421CE3">
              <w:rPr>
                <w:b/>
                <w:i/>
              </w:rPr>
              <w:t>000</w:t>
            </w:r>
            <w:r w:rsidRPr="00421CE3">
              <w:t> </w:t>
            </w:r>
            <w:r w:rsidRPr="00421CE3">
              <w:rPr>
                <w:b/>
                <w:i/>
              </w:rPr>
              <w:t>000</w:t>
            </w:r>
            <w:r w:rsidRPr="00421CE3">
              <w:t> EUR par année scolaire.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41EA5">
        <w:t>Amendement</w:t>
      </w:r>
      <w:r w:rsidRPr="00D41EA5">
        <w:tab/>
      </w:r>
      <w:r w:rsidRPr="00D41EA5">
        <w:tab/>
      </w:r>
      <w:r>
        <w:rPr>
          <w:rStyle w:val="HideTWBExt"/>
          <w:b w:val="0"/>
        </w:rPr>
        <w:t>&lt;NumAm&gt;</w:t>
      </w:r>
      <w:r w:rsidRPr="00D41EA5">
        <w:t>259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41EA5">
        <w:t>Norbert Lins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41EA5">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41EA5">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D41EA5">
        <w:t>Règlement (UE) n° 1308/2013</w:t>
      </w:r>
      <w:r>
        <w:rPr>
          <w:rStyle w:val="HideTWBExt"/>
        </w:rPr>
        <w:t>&lt;/DocAmend2&gt;</w:t>
      </w:r>
    </w:p>
    <w:p w:rsidR="002F2A46" w:rsidRPr="00A53FF9" w:rsidRDefault="002F2A46" w:rsidP="002F2A46">
      <w:pPr>
        <w:rPr>
          <w:noProof/>
        </w:rPr>
      </w:pPr>
      <w:r>
        <w:rPr>
          <w:rStyle w:val="HideTWBExt"/>
        </w:rPr>
        <w:t>&lt;Article2&gt;</w:t>
      </w:r>
      <w:r w:rsidRPr="00D41EA5">
        <w:t>Article 23 bis</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41EA5" w:rsidRDefault="002F2A46" w:rsidP="003A3553">
            <w:pPr>
              <w:pStyle w:val="ColumnHeading"/>
              <w:keepNext/>
              <w:rPr>
                <w:noProof/>
              </w:rPr>
            </w:pPr>
            <w:r w:rsidRPr="00D41EA5">
              <w:t>Texte proposé par la Commission</w:t>
            </w:r>
          </w:p>
        </w:tc>
        <w:tc>
          <w:tcPr>
            <w:tcW w:w="4876" w:type="dxa"/>
            <w:hideMark/>
          </w:tcPr>
          <w:p w:rsidR="002F2A46" w:rsidRPr="00D41EA5" w:rsidRDefault="002F2A46" w:rsidP="003A3553">
            <w:pPr>
              <w:pStyle w:val="ColumnHeading"/>
              <w:keepNext/>
              <w:rPr>
                <w:noProof/>
              </w:rPr>
            </w:pPr>
            <w:r w:rsidRPr="00D41EA5">
              <w:t>Amendement</w:t>
            </w: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i)</w:t>
            </w:r>
            <w:r w:rsidRPr="00D41EA5">
              <w:rPr>
                <w:b/>
                <w:i/>
              </w:rPr>
              <w:tab/>
              <w:t>le paragraphe 1 est remplacé par le texte suivant:</w:t>
            </w:r>
          </w:p>
        </w:tc>
        <w:tc>
          <w:tcPr>
            <w:tcW w:w="4876" w:type="dxa"/>
            <w:hideMark/>
          </w:tcPr>
          <w:p w:rsidR="002F2A46" w:rsidRPr="00D41EA5" w:rsidRDefault="002F2A46" w:rsidP="003A3553">
            <w:pPr>
              <w:pStyle w:val="Normal6"/>
              <w:rPr>
                <w:noProof/>
                <w:szCs w:val="24"/>
              </w:rPr>
            </w:pPr>
            <w:r w:rsidRPr="00D41EA5">
              <w:rPr>
                <w:b/>
                <w:i/>
              </w:rPr>
              <w:t>supprimé</w:t>
            </w:r>
          </w:p>
        </w:tc>
      </w:tr>
      <w:tr w:rsidR="002F2A46" w:rsidRPr="00A53FF9" w:rsidTr="003A3553">
        <w:trPr>
          <w:jc w:val="center"/>
        </w:trPr>
        <w:tc>
          <w:tcPr>
            <w:tcW w:w="4876" w:type="dxa"/>
            <w:hideMark/>
          </w:tcPr>
          <w:p w:rsidR="002F2A46" w:rsidRPr="00D41EA5" w:rsidRDefault="002F2A46" w:rsidP="003A3553">
            <w:pPr>
              <w:pStyle w:val="Normal6"/>
              <w:rPr>
                <w:noProof/>
              </w:rPr>
            </w:pP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«1.</w:t>
            </w:r>
            <w:r w:rsidRPr="00D41EA5">
              <w:rPr>
                <w:b/>
                <w:i/>
              </w:rPr>
              <w:tab/>
            </w: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Dans cette limite globale, l'aide ne dépasse pas:</w:t>
            </w: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(a)</w:t>
            </w:r>
            <w:r w:rsidRPr="00D41EA5">
              <w:rPr>
                <w:b/>
                <w:i/>
              </w:rPr>
              <w:tab/>
              <w:t>pour les fruits et légumes à l'école: 130 608 466 EUR par année scolaire;</w:t>
            </w: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r w:rsidRPr="00D41EA5">
              <w:rPr>
                <w:b/>
                <w:i/>
              </w:rPr>
              <w:t>(b)</w:t>
            </w:r>
            <w:r w:rsidRPr="00D41EA5">
              <w:rPr>
                <w:b/>
                <w:i/>
              </w:rPr>
              <w:tab/>
              <w:t>pour le lait à l'école: 90 195 669 EUR par année scolaire;»</w:t>
            </w:r>
          </w:p>
        </w:tc>
        <w:tc>
          <w:tcPr>
            <w:tcW w:w="4876" w:type="dxa"/>
          </w:tcPr>
          <w:p w:rsidR="002F2A46" w:rsidRPr="00D41EA5" w:rsidRDefault="002F2A46" w:rsidP="003A3553">
            <w:pPr>
              <w:pStyle w:val="Normal6"/>
              <w:rPr>
                <w:noProof/>
                <w:szCs w:val="24"/>
              </w:rPr>
            </w:pPr>
          </w:p>
        </w:tc>
      </w:tr>
      <w:tr w:rsidR="002F2A46" w:rsidRPr="00A53FF9" w:rsidTr="003A3553">
        <w:trPr>
          <w:jc w:val="center"/>
        </w:trPr>
        <w:tc>
          <w:tcPr>
            <w:tcW w:w="4876" w:type="dxa"/>
            <w:hideMark/>
          </w:tcPr>
          <w:p w:rsidR="002F2A46" w:rsidRPr="00D41EA5" w:rsidRDefault="002F2A46" w:rsidP="003A3553">
            <w:pPr>
              <w:pStyle w:val="Normal6"/>
              <w:rPr>
                <w:noProof/>
              </w:rPr>
            </w:pPr>
          </w:p>
        </w:tc>
        <w:tc>
          <w:tcPr>
            <w:tcW w:w="4876" w:type="dxa"/>
          </w:tcPr>
          <w:p w:rsidR="002F2A46" w:rsidRPr="00D41EA5" w:rsidRDefault="002F2A46" w:rsidP="003A3553">
            <w:pPr>
              <w:pStyle w:val="Normal6"/>
              <w:rPr>
                <w:noProof/>
                <w:szCs w:val="24"/>
              </w:rPr>
            </w:pPr>
          </w:p>
        </w:tc>
      </w:tr>
    </w:tbl>
    <w:p w:rsidR="002F2A46" w:rsidRPr="00A53FF9" w:rsidRDefault="002F2A46" w:rsidP="002F2A46">
      <w:pPr>
        <w:pStyle w:val="Olang"/>
        <w:rPr>
          <w:szCs w:val="24"/>
        </w:rPr>
      </w:pPr>
      <w:r w:rsidRPr="00D41EA5">
        <w:t xml:space="preserve">Or. </w:t>
      </w:r>
      <w:r w:rsidRPr="0056292F">
        <w:rPr>
          <w:rStyle w:val="HideTWBExt"/>
        </w:rPr>
        <w:t>&lt;Original&gt;</w:t>
      </w:r>
      <w:r w:rsidRPr="0056292F">
        <w:rPr>
          <w:rStyle w:val="HideTWBInt"/>
        </w:rPr>
        <w:t>{DE}</w:t>
      </w:r>
      <w:r w:rsidRPr="00D41EA5">
        <w:t>de</w:t>
      </w:r>
      <w:r w:rsidRPr="0056292F">
        <w:rPr>
          <w:rStyle w:val="HideTWBExt"/>
        </w:rPr>
        <w:t>&lt;/Original&gt;</w:t>
      </w:r>
    </w:p>
    <w:p w:rsidR="002F2A46" w:rsidRPr="00A53FF9" w:rsidRDefault="002F2A46" w:rsidP="002F2A46">
      <w:pPr>
        <w:pStyle w:val="JustificationTitle"/>
      </w:pPr>
      <w:r>
        <w:rPr>
          <w:rStyle w:val="HideTWBExt"/>
          <w:i w:val="0"/>
        </w:rPr>
        <w:t>&lt;TitreJust&gt;</w:t>
      </w:r>
      <w:r w:rsidRPr="00D41EA5">
        <w:t>Justification</w:t>
      </w:r>
      <w:r>
        <w:rPr>
          <w:rStyle w:val="HideTWBExt"/>
          <w:i w:val="0"/>
        </w:rPr>
        <w:t>&lt;/TitreJust&gt;</w:t>
      </w:r>
    </w:p>
    <w:p w:rsidR="002F2A46" w:rsidRPr="00A53FF9" w:rsidRDefault="002F2A46" w:rsidP="002F2A46">
      <w:pPr>
        <w:pStyle w:val="Normal12Italic"/>
      </w:pPr>
      <w:r>
        <w:t>Il n’est pas possible de réduire les moyens alloués compte tenu de l’importance croissante de l'éducation alimentaire dans la société.</w:t>
      </w:r>
    </w:p>
    <w:p w:rsidR="002F2A46" w:rsidRPr="00A53FF9" w:rsidRDefault="002F2A46" w:rsidP="002F2A46">
      <w:pPr>
        <w:pStyle w:val="AMNumberTabs"/>
        <w:keepNext/>
        <w:rPr>
          <w:noProof/>
        </w:rPr>
      </w:pPr>
      <w:r>
        <w:rPr>
          <w:rStyle w:val="HideTWBExt"/>
        </w:rPr>
        <w:t>&lt;/Amend&gt;</w:t>
      </w:r>
      <w:r>
        <w:rPr>
          <w:rStyle w:val="HideTWBExt"/>
          <w:b w:val="0"/>
        </w:rPr>
        <w:t>&lt;Amend&gt;</w:t>
      </w:r>
      <w:r w:rsidRPr="00393A53">
        <w:t>Amendement</w:t>
      </w:r>
      <w:r w:rsidRPr="00393A53">
        <w:tab/>
      </w:r>
      <w:r w:rsidRPr="00393A53">
        <w:tab/>
      </w:r>
      <w:r>
        <w:rPr>
          <w:rStyle w:val="HideTWBExt"/>
          <w:b w:val="0"/>
        </w:rPr>
        <w:t>&lt;NumAm&gt;</w:t>
      </w:r>
      <w:r w:rsidRPr="00393A53">
        <w:t>260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23 bis</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i)</w:t>
            </w:r>
            <w:r w:rsidRPr="00393A53">
              <w:rPr>
                <w:b/>
                <w:i/>
              </w:rPr>
              <w:tab/>
              <w:t>le paragraphe 1 est remplacé par le texte suivant:</w:t>
            </w:r>
          </w:p>
        </w:tc>
        <w:tc>
          <w:tcPr>
            <w:tcW w:w="4876" w:type="dxa"/>
            <w:hideMark/>
          </w:tcPr>
          <w:p w:rsidR="002F2A46" w:rsidRPr="00393A53" w:rsidRDefault="002F2A46" w:rsidP="003A3553">
            <w:pPr>
              <w:pStyle w:val="Normal6"/>
              <w:rPr>
                <w:noProof/>
                <w:szCs w:val="24"/>
              </w:rPr>
            </w:pPr>
            <w:r w:rsidRPr="00393A53">
              <w:rPr>
                <w:b/>
                <w:i/>
              </w:rPr>
              <w:t>supprimé</w:t>
            </w: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«1.</w:t>
            </w:r>
            <w:r w:rsidRPr="00393A53">
              <w:rPr>
                <w:b/>
                <w:i/>
              </w:rPr>
              <w:tab/>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Dans cette limite globale, l'aide ne dépasse pas:</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(a)</w:t>
            </w:r>
            <w:r w:rsidRPr="00393A53">
              <w:rPr>
                <w:b/>
                <w:i/>
              </w:rPr>
              <w:tab/>
              <w:t>pour les fruits et légumes à l'école: 130 608 466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(b)</w:t>
            </w:r>
            <w:r w:rsidRPr="00393A53">
              <w:rPr>
                <w:b/>
                <w:i/>
              </w:rPr>
              <w:tab/>
              <w:t>pour le lait à l'école: 90 195 669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Le niveau actuel du budget du programme à destination des écoles devrait être maintenu à un niveau au moins égal à 250 millions d’euros à l’échelle de l’Union. La proposition de la Commission européenne est de ramener ce budget à 220,1 millions d’euros sans préciser le niveau de cette réduction pour chaque État membre.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261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Beata Gosiewska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23 bis</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i)</w:t>
            </w:r>
            <w:r w:rsidRPr="00393A53">
              <w:rPr>
                <w:b/>
                <w:i/>
              </w:rPr>
              <w:tab/>
              <w:t>le paragraphe 1 est remplacé par le texte suivant:</w:t>
            </w:r>
          </w:p>
        </w:tc>
        <w:tc>
          <w:tcPr>
            <w:tcW w:w="4876" w:type="dxa"/>
            <w:hideMark/>
          </w:tcPr>
          <w:p w:rsidR="002F2A46" w:rsidRPr="00393A53" w:rsidRDefault="002F2A46" w:rsidP="003A3553">
            <w:pPr>
              <w:pStyle w:val="Normal6"/>
              <w:rPr>
                <w:noProof/>
                <w:szCs w:val="24"/>
              </w:rPr>
            </w:pPr>
            <w:r w:rsidRPr="00393A53">
              <w:rPr>
                <w:b/>
                <w:i/>
              </w:rPr>
              <w:t>supprimé</w:t>
            </w: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«1.</w:t>
            </w:r>
            <w:r w:rsidRPr="00393A53">
              <w:rPr>
                <w:b/>
                <w:i/>
              </w:rPr>
              <w:tab/>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Dans cette limite globale, l'aide ne dépasse pas:</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(a)</w:t>
            </w:r>
            <w:r w:rsidRPr="00393A53">
              <w:rPr>
                <w:b/>
                <w:i/>
              </w:rPr>
              <w:tab/>
              <w:t>pour les fruits et légumes à l'école: 130 608 466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(b)</w:t>
            </w:r>
            <w:r w:rsidRPr="00393A53">
              <w:rPr>
                <w:b/>
                <w:i/>
              </w:rPr>
              <w:tab/>
              <w:t>pour le lait à l'école: 90 195 669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bl>
    <w:p w:rsidR="002F2A46" w:rsidRPr="00CD03D8" w:rsidRDefault="002F2A46" w:rsidP="002F2A46">
      <w:pPr>
        <w:pStyle w:val="Olang"/>
        <w:rPr>
          <w:szCs w:val="24"/>
          <w:lang w:val="pl-PL"/>
        </w:rPr>
      </w:pPr>
      <w:r w:rsidRPr="00CD03D8">
        <w:rPr>
          <w:lang w:val="pl-PL"/>
        </w:rPr>
        <w:t xml:space="preserve">Or. </w:t>
      </w:r>
      <w:r w:rsidRPr="00CD03D8">
        <w:rPr>
          <w:rStyle w:val="HideTWBExt"/>
          <w:lang w:val="pl-PL"/>
        </w:rPr>
        <w:t>&lt;Original&gt;</w:t>
      </w:r>
      <w:r w:rsidRPr="00CD03D8">
        <w:rPr>
          <w:rStyle w:val="HideTWBInt"/>
          <w:lang w:val="pl-PL"/>
        </w:rPr>
        <w:t>{PL}</w:t>
      </w:r>
      <w:r w:rsidRPr="00CD03D8">
        <w:rPr>
          <w:lang w:val="pl-PL"/>
        </w:rPr>
        <w:t>pl</w:t>
      </w:r>
      <w:r w:rsidRPr="00CD03D8">
        <w:rPr>
          <w:rStyle w:val="HideTWBExt"/>
          <w:lang w:val="pl-PL"/>
        </w:rPr>
        <w:t>&lt;/Original&gt;</w:t>
      </w:r>
    </w:p>
    <w:p w:rsidR="002F2A46" w:rsidRPr="00CD03D8" w:rsidRDefault="002F2A46" w:rsidP="002F2A46">
      <w:pPr>
        <w:rPr>
          <w:noProof/>
          <w:lang w:val="pl-PL"/>
        </w:rPr>
      </w:pPr>
      <w:r w:rsidRPr="00CD03D8">
        <w:rPr>
          <w:rStyle w:val="HideTWBExt"/>
          <w:lang w:val="pl-PL"/>
        </w:rPr>
        <w:t>&lt;/Amend&gt;</w:t>
      </w:r>
    </w:p>
    <w:p w:rsidR="002F2A46" w:rsidRPr="00CD03D8" w:rsidRDefault="002F2A46" w:rsidP="002F2A46">
      <w:pPr>
        <w:pStyle w:val="AMNumberTabs"/>
        <w:keepNext/>
        <w:rPr>
          <w:noProof/>
          <w:lang w:val="pl-PL"/>
        </w:rPr>
      </w:pPr>
      <w:r w:rsidRPr="00CD03D8">
        <w:rPr>
          <w:rStyle w:val="HideTWBExt"/>
          <w:b w:val="0"/>
          <w:lang w:val="pl-PL"/>
        </w:rPr>
        <w:t>&lt;Amend&gt;</w:t>
      </w:r>
      <w:r w:rsidRPr="00CD03D8">
        <w:rPr>
          <w:lang w:val="pl-PL"/>
        </w:rPr>
        <w:t>Amendement</w:t>
      </w:r>
      <w:r w:rsidRPr="00CD03D8">
        <w:rPr>
          <w:lang w:val="pl-PL"/>
        </w:rPr>
        <w:tab/>
      </w:r>
      <w:r w:rsidRPr="00CD03D8">
        <w:rPr>
          <w:lang w:val="pl-PL"/>
        </w:rPr>
        <w:tab/>
      </w:r>
      <w:r w:rsidRPr="00CD03D8">
        <w:rPr>
          <w:rStyle w:val="HideTWBExt"/>
          <w:b w:val="0"/>
          <w:lang w:val="pl-PL"/>
        </w:rPr>
        <w:t>&lt;NumAm&gt;</w:t>
      </w:r>
      <w:r w:rsidRPr="00CD03D8">
        <w:rPr>
          <w:lang w:val="pl-PL"/>
        </w:rPr>
        <w:t>262</w:t>
      </w:r>
      <w:r w:rsidRPr="00CD03D8">
        <w:rPr>
          <w:rStyle w:val="HideTWBExt"/>
          <w:b w:val="0"/>
          <w:lang w:val="pl-PL"/>
        </w:rPr>
        <w:t>&lt;/NumAm&gt;</w:t>
      </w:r>
    </w:p>
    <w:p w:rsidR="002F2A46" w:rsidRPr="00C02763" w:rsidRDefault="002F2A46" w:rsidP="002F2A46">
      <w:pPr>
        <w:pStyle w:val="NormalBold"/>
        <w:rPr>
          <w:noProof/>
          <w:lang w:val="pl-PL"/>
        </w:rPr>
      </w:pPr>
      <w:r w:rsidRPr="00C02763">
        <w:rPr>
          <w:rStyle w:val="HideTWBExt"/>
          <w:b w:val="0"/>
          <w:lang w:val="pl-PL"/>
        </w:rPr>
        <w:t>&lt;RepeatBlock-By&gt;&lt;Members&gt;</w:t>
      </w:r>
      <w:r w:rsidRPr="00C02763">
        <w:rPr>
          <w:lang w:val="pl-PL"/>
        </w:rPr>
        <w:t>Jarosław Kalinowski, Czesław Adam Siekierski</w:t>
      </w:r>
      <w:r w:rsidRPr="00C02763">
        <w:rPr>
          <w:rStyle w:val="HideTWBExt"/>
          <w:b w:val="0"/>
          <w:lang w:val="pl-PL"/>
        </w:rPr>
        <w:t>&lt;/Members&gt;</w:t>
      </w:r>
    </w:p>
    <w:p w:rsidR="002F2A46" w:rsidRPr="00C02763" w:rsidRDefault="002F2A46" w:rsidP="002F2A46">
      <w:pPr>
        <w:rPr>
          <w:noProof/>
          <w:lang w:val="pl-PL"/>
        </w:rPr>
      </w:pPr>
      <w:r w:rsidRPr="00C02763">
        <w:rPr>
          <w:rStyle w:val="HideTWBExt"/>
          <w:lang w:val="pl-PL"/>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1.</w:t>
            </w:r>
            <w:r w:rsidRPr="00393A53">
              <w:rPr>
                <w:b/>
                <w:i/>
              </w:rPr>
              <w:tab/>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hideMark/>
          </w:tcPr>
          <w:p w:rsidR="002F2A46" w:rsidRPr="00393A53" w:rsidRDefault="002F2A46" w:rsidP="003A3553">
            <w:pPr>
              <w:pStyle w:val="Normal6"/>
              <w:rPr>
                <w:noProof/>
                <w:szCs w:val="24"/>
              </w:rPr>
            </w:pPr>
            <w:r w:rsidRPr="00393A53">
              <w:rPr>
                <w:b/>
                <w:i/>
              </w:rPr>
              <w:t>supprimé</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Dans cette limite globale, l'aide ne dépasse pas:</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(a)</w:t>
            </w:r>
            <w:r w:rsidRPr="00393A53">
              <w:rPr>
                <w:b/>
                <w:i/>
              </w:rPr>
              <w:tab/>
              <w:t>pour les fruits et légumes à l'école: 130 608 466 EUR par année scolaire;</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(b)</w:t>
            </w:r>
            <w:r w:rsidRPr="00393A53">
              <w:rPr>
                <w:b/>
                <w:i/>
              </w:rPr>
              <w:tab/>
              <w:t>pour le lait à l'école: 90 195 669 EUR par année scolaire;</w:t>
            </w:r>
          </w:p>
        </w:tc>
        <w:tc>
          <w:tcPr>
            <w:tcW w:w="4876" w:type="dxa"/>
          </w:tcPr>
          <w:p w:rsidR="002F2A46" w:rsidRPr="00393A53" w:rsidRDefault="002F2A46" w:rsidP="003A3553">
            <w:pPr>
              <w:pStyle w:val="Normal6"/>
              <w:rPr>
                <w:noProof/>
                <w:szCs w:val="24"/>
              </w:rPr>
            </w:pP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La réduction du budget alloué au programme à destination des écoles risque de restreindre encore davantage la distribution de produits aux établissements d’enseignement, alors que les modes de vie sains et la lutte contre l’obésité parmi les enfants et les jeunes forment un objectif du programme et sont donc incontournables. Le budget des programmes à destination des écoles devrait être maintenu au moins au niveau actuel, soit 250 millions d’euros.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263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Sans préjudice du paragraphe 4, l'aide octroyée au titre du programme à destination des écoles pour la distribution de produits, les mesures éducatives d'accompagnement et les coûts connexes visés à l'article 23, paragraphe 1, ne dépasse pas 220 804 135 EUR par année scolaire.</w:t>
            </w:r>
          </w:p>
        </w:tc>
        <w:tc>
          <w:tcPr>
            <w:tcW w:w="4876" w:type="dxa"/>
            <w:hideMark/>
          </w:tcPr>
          <w:p w:rsidR="002F2A46" w:rsidRPr="00DE5BAE" w:rsidRDefault="002F2A46" w:rsidP="003A3553">
            <w:pPr>
              <w:pStyle w:val="Normal6"/>
              <w:rPr>
                <w:noProof/>
                <w:szCs w:val="24"/>
              </w:rPr>
            </w:pPr>
            <w:r w:rsidRPr="00DE5BAE">
              <w:t xml:space="preserve">Sans préjudice du paragraphe 4, l'aide octroyée au titre du programme à destination des écoles pour la distribution de produits, </w:t>
            </w:r>
            <w:r w:rsidRPr="00DE5BAE">
              <w:rPr>
                <w:b/>
                <w:i/>
              </w:rPr>
              <w:t xml:space="preserve">y compris les produits relevant de circuits d’approvisionnement courts, </w:t>
            </w:r>
            <w:r w:rsidRPr="00DE5BAE">
              <w:t>les mesures éducatives d'accompagnement et les coûts connexes visés à l'article 23, paragraphe 1, ne dépasse pas 220 804 135 EUR par année scolaire.</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Momchil Nekov,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220</w:t>
            </w:r>
            <w:r w:rsidRPr="00421CE3">
              <w:t> </w:t>
            </w:r>
            <w:r w:rsidRPr="00421CE3">
              <w:rPr>
                <w:b/>
                <w:i/>
              </w:rPr>
              <w:t>804</w:t>
            </w:r>
            <w:r w:rsidRPr="00421CE3">
              <w:t> </w:t>
            </w:r>
            <w:r w:rsidRPr="00421CE3">
              <w:rPr>
                <w:b/>
                <w:i/>
              </w:rPr>
              <w:t>135</w:t>
            </w:r>
            <w:r w:rsidRPr="00421CE3">
              <w:t> EUR par année scolaire.</w:t>
            </w:r>
          </w:p>
        </w:tc>
        <w:tc>
          <w:tcPr>
            <w:tcW w:w="4876" w:type="dxa"/>
            <w:hideMark/>
          </w:tcPr>
          <w:p w:rsidR="002F2A46" w:rsidRPr="00421CE3" w:rsidRDefault="002F2A46" w:rsidP="003A3553">
            <w:pPr>
              <w:pStyle w:val="Normal6"/>
              <w:rPr>
                <w:noProof/>
                <w:szCs w:val="24"/>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250</w:t>
            </w:r>
            <w:r w:rsidRPr="00421CE3">
              <w:t> </w:t>
            </w:r>
            <w:r w:rsidRPr="00421CE3">
              <w:rPr>
                <w:b/>
                <w:i/>
              </w:rPr>
              <w:t>000</w:t>
            </w:r>
            <w:r w:rsidRPr="00421CE3">
              <w:t> </w:t>
            </w:r>
            <w:r w:rsidRPr="00421CE3">
              <w:rPr>
                <w:b/>
                <w:i/>
              </w:rPr>
              <w:t>000</w:t>
            </w:r>
            <w:r w:rsidRPr="00421CE3">
              <w:t> EUR par année scolaire.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Maria Gabriela Zoană,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220</w:t>
            </w:r>
            <w:r w:rsidRPr="00421CE3">
              <w:t> </w:t>
            </w:r>
            <w:r w:rsidRPr="00421CE3">
              <w:rPr>
                <w:b/>
                <w:i/>
              </w:rPr>
              <w:t>804</w:t>
            </w:r>
            <w:r w:rsidRPr="00421CE3">
              <w:t> </w:t>
            </w:r>
            <w:r w:rsidRPr="00421CE3">
              <w:rPr>
                <w:b/>
                <w:i/>
              </w:rPr>
              <w:t>135</w:t>
            </w:r>
            <w:r w:rsidRPr="00421CE3">
              <w:t> EUR par année scolaire.</w:t>
            </w:r>
          </w:p>
        </w:tc>
        <w:tc>
          <w:tcPr>
            <w:tcW w:w="4876" w:type="dxa"/>
            <w:hideMark/>
          </w:tcPr>
          <w:p w:rsidR="002F2A46" w:rsidRPr="00421CE3" w:rsidRDefault="002F2A46" w:rsidP="003A3553">
            <w:pPr>
              <w:pStyle w:val="Normal6"/>
              <w:rPr>
                <w:noProof/>
                <w:szCs w:val="24"/>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250</w:t>
            </w:r>
            <w:r w:rsidRPr="00421CE3">
              <w:t> </w:t>
            </w:r>
            <w:r w:rsidRPr="00421CE3">
              <w:rPr>
                <w:b/>
                <w:i/>
              </w:rPr>
              <w:t>000</w:t>
            </w:r>
            <w:r w:rsidRPr="00421CE3">
              <w:t> </w:t>
            </w:r>
            <w:r w:rsidRPr="00421CE3">
              <w:rPr>
                <w:b/>
                <w:i/>
              </w:rPr>
              <w:t>000</w:t>
            </w:r>
            <w:r w:rsidRPr="00421CE3">
              <w:t> EUR par année scolaire.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220</w:t>
            </w:r>
            <w:r w:rsidRPr="00421CE3">
              <w:t> </w:t>
            </w:r>
            <w:r w:rsidRPr="00421CE3">
              <w:rPr>
                <w:b/>
                <w:i/>
              </w:rPr>
              <w:t>804</w:t>
            </w:r>
            <w:r w:rsidRPr="00421CE3">
              <w:t> </w:t>
            </w:r>
            <w:r w:rsidRPr="00421CE3">
              <w:rPr>
                <w:b/>
                <w:i/>
              </w:rPr>
              <w:t>135</w:t>
            </w:r>
            <w:r w:rsidRPr="00421CE3">
              <w:t> EUR par année scolaire.</w:t>
            </w:r>
          </w:p>
        </w:tc>
        <w:tc>
          <w:tcPr>
            <w:tcW w:w="4876" w:type="dxa"/>
            <w:hideMark/>
          </w:tcPr>
          <w:p w:rsidR="002F2A46" w:rsidRPr="00421CE3" w:rsidRDefault="002F2A46" w:rsidP="003A3553">
            <w:pPr>
              <w:pStyle w:val="Normal6"/>
              <w:rPr>
                <w:noProof/>
                <w:szCs w:val="24"/>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270</w:t>
            </w:r>
            <w:r w:rsidRPr="00421CE3">
              <w:t> </w:t>
            </w:r>
            <w:r w:rsidRPr="00421CE3">
              <w:rPr>
                <w:b/>
                <w:i/>
              </w:rPr>
              <w:t>000</w:t>
            </w:r>
            <w:r w:rsidRPr="00421CE3">
              <w:t> </w:t>
            </w:r>
            <w:r w:rsidRPr="00421CE3">
              <w:rPr>
                <w:b/>
                <w:i/>
              </w:rPr>
              <w:t>000</w:t>
            </w:r>
            <w:r w:rsidRPr="00421CE3">
              <w:t> EUR par année scolaire.</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Daciana Octavia Sârbu,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220</w:t>
            </w:r>
            <w:r w:rsidRPr="00421CE3">
              <w:t> </w:t>
            </w:r>
            <w:r w:rsidRPr="00421CE3">
              <w:rPr>
                <w:b/>
                <w:i/>
              </w:rPr>
              <w:t>804</w:t>
            </w:r>
            <w:r w:rsidRPr="00421CE3">
              <w:t> </w:t>
            </w:r>
            <w:r w:rsidRPr="00421CE3">
              <w:rPr>
                <w:b/>
                <w:i/>
              </w:rPr>
              <w:t>135</w:t>
            </w:r>
            <w:r w:rsidRPr="00421CE3">
              <w:t> EUR par année scolaire.</w:t>
            </w:r>
          </w:p>
        </w:tc>
        <w:tc>
          <w:tcPr>
            <w:tcW w:w="4876" w:type="dxa"/>
            <w:hideMark/>
          </w:tcPr>
          <w:p w:rsidR="002F2A46" w:rsidRPr="00421CE3" w:rsidRDefault="002F2A46" w:rsidP="003A3553">
            <w:pPr>
              <w:pStyle w:val="Normal6"/>
              <w:rPr>
                <w:noProof/>
                <w:szCs w:val="24"/>
              </w:rPr>
            </w:pPr>
            <w:r w:rsidRPr="00421CE3">
              <w:t xml:space="preserve">Sans préjudice du paragraphe 4, l'aide octroyée au titre du programme à destination des écoles pour la distribution de produits, les mesures éducatives d'accompagnement et les coûts connexes visés à l'article 23, paragraphe 1, ne dépasse pas </w:t>
            </w:r>
            <w:r w:rsidRPr="00421CE3">
              <w:rPr>
                <w:b/>
                <w:i/>
              </w:rPr>
              <w:t>250</w:t>
            </w:r>
            <w:r w:rsidRPr="00421CE3">
              <w:t> </w:t>
            </w:r>
            <w:r w:rsidRPr="00421CE3">
              <w:rPr>
                <w:b/>
                <w:i/>
              </w:rPr>
              <w:t>000</w:t>
            </w:r>
            <w:r w:rsidRPr="00421CE3">
              <w:t> </w:t>
            </w:r>
            <w:r w:rsidRPr="00421CE3">
              <w:rPr>
                <w:b/>
                <w:i/>
              </w:rPr>
              <w:t>000</w:t>
            </w:r>
            <w:r w:rsidRPr="00421CE3">
              <w:t> EUR par année scolaire.</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i/>
              </w:rPr>
              <w:t>(Article 23)</w:t>
            </w: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(Article 23, paragraphe 2)</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Cette adaptation du budget a pour but de préserver le niveau actuel de financement des programmes à destination des écoles, sachant que l’enveloppe britannique était redistribuée à d’autres pays.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150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269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160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11491A" w:rsidRDefault="002F2A46" w:rsidP="002F2A46">
      <w:pPr>
        <w:pStyle w:val="AMNumberTabs"/>
        <w:keepNext/>
        <w:rPr>
          <w:noProof/>
          <w:lang w:val="sv-SE"/>
        </w:rPr>
      </w:pPr>
      <w:r w:rsidRPr="0011491A">
        <w:rPr>
          <w:rStyle w:val="HideTWBExt"/>
          <w:b w:val="0"/>
          <w:lang w:val="sv-SE"/>
        </w:rPr>
        <w:t>&lt;Amend&gt;</w:t>
      </w:r>
      <w:r w:rsidRPr="0011491A">
        <w:rPr>
          <w:lang w:val="sv-SE"/>
        </w:rPr>
        <w:t>Amendement</w:t>
      </w:r>
      <w:r w:rsidRPr="0011491A">
        <w:rPr>
          <w:lang w:val="sv-SE"/>
        </w:rPr>
        <w:tab/>
      </w:r>
      <w:r w:rsidRPr="0011491A">
        <w:rPr>
          <w:lang w:val="sv-SE"/>
        </w:rPr>
        <w:tab/>
      </w:r>
      <w:r w:rsidRPr="0011491A">
        <w:rPr>
          <w:rStyle w:val="HideTWBExt"/>
          <w:b w:val="0"/>
          <w:lang w:val="sv-SE"/>
        </w:rPr>
        <w:t>&lt;NumAm&gt;</w:t>
      </w:r>
      <w:r w:rsidRPr="0011491A">
        <w:rPr>
          <w:lang w:val="sv-SE"/>
        </w:rPr>
        <w:t>270</w:t>
      </w:r>
      <w:r w:rsidRPr="0011491A">
        <w:rPr>
          <w:rStyle w:val="HideTWBExt"/>
          <w:b w:val="0"/>
          <w:lang w:val="sv-SE"/>
        </w:rPr>
        <w:t>&lt;/NumAm&gt;</w:t>
      </w:r>
    </w:p>
    <w:p w:rsidR="002F2A46" w:rsidRPr="0011491A" w:rsidRDefault="002F2A46" w:rsidP="002F2A46">
      <w:pPr>
        <w:pStyle w:val="NormalBold"/>
        <w:rPr>
          <w:noProof/>
          <w:lang w:val="sv-SE"/>
        </w:rPr>
      </w:pPr>
      <w:r w:rsidRPr="0011491A">
        <w:rPr>
          <w:rStyle w:val="HideTWBExt"/>
          <w:b w:val="0"/>
          <w:lang w:val="sv-SE"/>
        </w:rPr>
        <w:t>&lt;RepeatBlock-By&gt;&lt;Members&gt;</w:t>
      </w:r>
      <w:r w:rsidRPr="0011491A">
        <w:rPr>
          <w:lang w:val="sv-SE"/>
        </w:rPr>
        <w:t>Sandra Kalniete, Ivari Padar, Bronis Ropė</w:t>
      </w:r>
      <w:r w:rsidRPr="0011491A">
        <w:rPr>
          <w:rStyle w:val="HideTWBExt"/>
          <w:b w:val="0"/>
          <w:lang w:val="sv-SE"/>
        </w:rPr>
        <w:t>&lt;/Members&gt;</w:t>
      </w:r>
    </w:p>
    <w:p w:rsidR="002F2A46" w:rsidRPr="0011491A" w:rsidRDefault="002F2A46" w:rsidP="002F2A46">
      <w:pPr>
        <w:rPr>
          <w:noProof/>
          <w:lang w:val="sv-SE"/>
        </w:rPr>
      </w:pPr>
      <w:r w:rsidRPr="0011491A">
        <w:rPr>
          <w:rStyle w:val="HideTWBExt"/>
          <w:lang w:val="sv-SE"/>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150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Il sera difficile d’atteindre les ambitieux objectifs fixés avec une réduction du financement. L’efficacité des programmes a été, jusqu’à présent, très dépendante des financements complémentaires nationaux, étant donné que l’aide de l’Union ne couvre qu’une portion réduite des besoins totaux des programmes. Le Royaume-Uni n’utilisait pas intégralement son enveloppe; la partie inutilisée pouvait donc être redistribuée à d’autres États membres, qui avaient des besoins de financement supérieurs à leur enveloppe.</w:t>
      </w:r>
    </w:p>
    <w:p w:rsidR="002F2A46" w:rsidRPr="00A53FF9" w:rsidRDefault="002F2A46" w:rsidP="002F2A46">
      <w:pPr>
        <w:rPr>
          <w:noProof/>
        </w:rPr>
      </w:pPr>
      <w:r>
        <w:rPr>
          <w:rStyle w:val="HideTWBExt"/>
        </w:rPr>
        <w:t>&lt;/Amend&gt;</w:t>
      </w:r>
    </w:p>
    <w:p w:rsidR="002F2A46" w:rsidRPr="0011491A" w:rsidRDefault="002F2A46" w:rsidP="002F2A46">
      <w:pPr>
        <w:pStyle w:val="AMNumberTabs"/>
        <w:keepNext/>
        <w:rPr>
          <w:noProof/>
          <w:lang w:val="pt-PT"/>
        </w:rPr>
      </w:pPr>
      <w:r w:rsidRPr="0011491A">
        <w:rPr>
          <w:rStyle w:val="HideTWBExt"/>
          <w:b w:val="0"/>
          <w:lang w:val="pt-PT"/>
        </w:rPr>
        <w:t>&lt;Amend&gt;</w:t>
      </w:r>
      <w:r w:rsidRPr="0011491A">
        <w:rPr>
          <w:lang w:val="pt-PT"/>
        </w:rPr>
        <w:t>Amendement</w:t>
      </w:r>
      <w:r w:rsidRPr="0011491A">
        <w:rPr>
          <w:lang w:val="pt-PT"/>
        </w:rPr>
        <w:tab/>
      </w:r>
      <w:r w:rsidRPr="0011491A">
        <w:rPr>
          <w:lang w:val="pt-PT"/>
        </w:rPr>
        <w:tab/>
      </w:r>
      <w:r w:rsidRPr="0011491A">
        <w:rPr>
          <w:rStyle w:val="HideTWBExt"/>
          <w:b w:val="0"/>
          <w:lang w:val="pt-PT"/>
        </w:rPr>
        <w:t>&lt;NumAm&gt;</w:t>
      </w:r>
      <w:r w:rsidRPr="0011491A">
        <w:rPr>
          <w:lang w:val="pt-PT"/>
        </w:rPr>
        <w:t>271</w:t>
      </w:r>
      <w:r w:rsidRPr="0011491A">
        <w:rPr>
          <w:rStyle w:val="HideTWBExt"/>
          <w:b w:val="0"/>
          <w:lang w:val="pt-PT"/>
        </w:rPr>
        <w:t>&lt;/NumAm&gt;</w:t>
      </w:r>
    </w:p>
    <w:p w:rsidR="002F2A46" w:rsidRPr="0011491A" w:rsidRDefault="002F2A46" w:rsidP="002F2A46">
      <w:pPr>
        <w:pStyle w:val="NormalBold"/>
        <w:rPr>
          <w:noProof/>
          <w:lang w:val="pt-PT"/>
        </w:rPr>
      </w:pPr>
      <w:r w:rsidRPr="0011491A">
        <w:rPr>
          <w:rStyle w:val="HideTWBExt"/>
          <w:b w:val="0"/>
          <w:lang w:val="pt-PT"/>
        </w:rPr>
        <w:t>&lt;RepeatBlock-By&gt;&lt;Members&gt;</w:t>
      </w:r>
      <w:r w:rsidRPr="0011491A">
        <w:rPr>
          <w:lang w:val="pt-PT"/>
        </w:rPr>
        <w:t>Maria Gabriela Zoană, Pavel Poc</w:t>
      </w:r>
      <w:r w:rsidRPr="0011491A">
        <w:rPr>
          <w:rStyle w:val="HideTWBExt"/>
          <w:b w:val="0"/>
          <w:lang w:val="pt-PT"/>
        </w:rPr>
        <w:t>&lt;/Members&gt;</w:t>
      </w:r>
    </w:p>
    <w:p w:rsidR="002F2A46" w:rsidRPr="0011491A" w:rsidRDefault="002F2A46" w:rsidP="002F2A46">
      <w:pPr>
        <w:rPr>
          <w:noProof/>
          <w:lang w:val="pt-PT"/>
        </w:rPr>
      </w:pPr>
      <w:r w:rsidRPr="0011491A">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150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Daciana Octavia Sârbu,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150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Cette adaptation du budget a pour but de maintenir le niveau actuel de dépenses après le départ du Royaume-Uni de l’Union.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Momchil Nekov,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 xml:space="preserve">pour les fruits et légumes à l'école: </w:t>
            </w:r>
            <w:r w:rsidRPr="00421CE3">
              <w:rPr>
                <w:b/>
                <w:i/>
              </w:rPr>
              <w:t>130</w:t>
            </w:r>
            <w:r w:rsidRPr="00421CE3">
              <w:t> </w:t>
            </w:r>
            <w:r w:rsidRPr="00421CE3">
              <w:rPr>
                <w:b/>
                <w:i/>
              </w:rPr>
              <w:t>608</w:t>
            </w:r>
            <w:r w:rsidRPr="00421CE3">
              <w:t> </w:t>
            </w:r>
            <w:r w:rsidRPr="00421CE3">
              <w:rPr>
                <w:b/>
                <w:i/>
              </w:rPr>
              <w:t>466</w:t>
            </w:r>
            <w:r w:rsidRPr="00421CE3">
              <w:t> EUR par année scolaire;</w:t>
            </w:r>
          </w:p>
        </w:tc>
        <w:tc>
          <w:tcPr>
            <w:tcW w:w="4876" w:type="dxa"/>
            <w:hideMark/>
          </w:tcPr>
          <w:p w:rsidR="002F2A46" w:rsidRPr="00421CE3" w:rsidRDefault="002F2A46" w:rsidP="003A3553">
            <w:pPr>
              <w:pStyle w:val="Normal6"/>
              <w:rPr>
                <w:noProof/>
                <w:szCs w:val="24"/>
              </w:rPr>
            </w:pPr>
            <w:r w:rsidRPr="00421CE3">
              <w:t>a)</w:t>
            </w:r>
            <w:r w:rsidRPr="00421CE3">
              <w:tab/>
              <w:t xml:space="preserve">pour les fruits et légumes à l'école: </w:t>
            </w:r>
            <w:r w:rsidRPr="00421CE3">
              <w:rPr>
                <w:b/>
                <w:i/>
              </w:rPr>
              <w:t>150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Sandra Kalniete</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w:t>
            </w:r>
            <w:r w:rsidRPr="00421CE3">
              <w:t> </w:t>
            </w:r>
            <w:r w:rsidRPr="00421CE3">
              <w:rPr>
                <w:b/>
                <w:i/>
              </w:rPr>
              <w:t>195</w:t>
            </w:r>
            <w:r w:rsidRPr="00421CE3">
              <w:t> </w:t>
            </w:r>
            <w:r w:rsidRPr="00421CE3">
              <w:rPr>
                <w:b/>
                <w:i/>
              </w:rPr>
              <w:t>669</w:t>
            </w:r>
            <w:r w:rsidRPr="00421CE3">
              <w:t> 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100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w:t>
            </w:r>
            <w:r w:rsidRPr="00421CE3">
              <w:t> </w:t>
            </w:r>
            <w:r w:rsidRPr="00421CE3">
              <w:rPr>
                <w:b/>
                <w:i/>
              </w:rPr>
              <w:t>195</w:t>
            </w:r>
            <w:r w:rsidRPr="00421CE3">
              <w:t> </w:t>
            </w:r>
            <w:r w:rsidRPr="00421CE3">
              <w:rPr>
                <w:b/>
                <w:i/>
              </w:rPr>
              <w:t>669</w:t>
            </w:r>
            <w:r w:rsidRPr="00421CE3">
              <w:t> 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110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11491A" w:rsidRDefault="002F2A46" w:rsidP="002F2A46">
      <w:pPr>
        <w:pStyle w:val="AMNumberTabs"/>
        <w:keepNext/>
        <w:rPr>
          <w:noProof/>
          <w:lang w:val="pt-PT"/>
        </w:rPr>
      </w:pPr>
      <w:r w:rsidRPr="0011491A">
        <w:rPr>
          <w:rStyle w:val="HideTWBExt"/>
          <w:b w:val="0"/>
          <w:lang w:val="pt-PT"/>
        </w:rPr>
        <w:t>&lt;Amend&gt;</w:t>
      </w:r>
      <w:r w:rsidRPr="0011491A">
        <w:rPr>
          <w:lang w:val="pt-PT"/>
        </w:rPr>
        <w:t>Amendement</w:t>
      </w:r>
      <w:r w:rsidRPr="0011491A">
        <w:rPr>
          <w:lang w:val="pt-PT"/>
        </w:rPr>
        <w:tab/>
      </w:r>
      <w:r w:rsidRPr="0011491A">
        <w:rPr>
          <w:lang w:val="pt-PT"/>
        </w:rPr>
        <w:tab/>
      </w:r>
      <w:r w:rsidRPr="0011491A">
        <w:rPr>
          <w:rStyle w:val="HideTWBExt"/>
          <w:b w:val="0"/>
          <w:lang w:val="pt-PT"/>
        </w:rPr>
        <w:t>&lt;NumAm&gt;</w:t>
      </w:r>
      <w:r w:rsidRPr="0011491A">
        <w:rPr>
          <w:lang w:val="pt-PT"/>
        </w:rPr>
        <w:t>276</w:t>
      </w:r>
      <w:r w:rsidRPr="0011491A">
        <w:rPr>
          <w:rStyle w:val="HideTWBExt"/>
          <w:b w:val="0"/>
          <w:lang w:val="pt-PT"/>
        </w:rPr>
        <w:t>&lt;/NumAm&gt;</w:t>
      </w:r>
    </w:p>
    <w:p w:rsidR="002F2A46" w:rsidRPr="0011491A" w:rsidRDefault="002F2A46" w:rsidP="002F2A46">
      <w:pPr>
        <w:pStyle w:val="NormalBold"/>
        <w:rPr>
          <w:noProof/>
          <w:lang w:val="pt-PT"/>
        </w:rPr>
      </w:pPr>
      <w:r w:rsidRPr="0011491A">
        <w:rPr>
          <w:rStyle w:val="HideTWBExt"/>
          <w:b w:val="0"/>
          <w:lang w:val="pt-PT"/>
        </w:rPr>
        <w:t>&lt;RepeatBlock-By&gt;&lt;Members&gt;</w:t>
      </w:r>
      <w:r w:rsidRPr="0011491A">
        <w:rPr>
          <w:lang w:val="pt-PT"/>
        </w:rPr>
        <w:t>Maria Gabriela Zoană, Pavel Poc</w:t>
      </w:r>
      <w:r w:rsidRPr="0011491A">
        <w:rPr>
          <w:rStyle w:val="HideTWBExt"/>
          <w:b w:val="0"/>
          <w:lang w:val="pt-PT"/>
        </w:rPr>
        <w:t>&lt;/Members&gt;</w:t>
      </w:r>
    </w:p>
    <w:p w:rsidR="002F2A46" w:rsidRPr="0011491A" w:rsidRDefault="002F2A46" w:rsidP="002F2A46">
      <w:pPr>
        <w:rPr>
          <w:noProof/>
          <w:lang w:val="pt-PT"/>
        </w:rPr>
      </w:pPr>
      <w:r w:rsidRPr="0011491A">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w:t>
            </w:r>
            <w:r w:rsidRPr="00421CE3">
              <w:t> </w:t>
            </w:r>
            <w:r w:rsidRPr="00421CE3">
              <w:rPr>
                <w:b/>
                <w:i/>
              </w:rPr>
              <w:t>195</w:t>
            </w:r>
            <w:r w:rsidRPr="00421CE3">
              <w:t> </w:t>
            </w:r>
            <w:r w:rsidRPr="00421CE3">
              <w:rPr>
                <w:b/>
                <w:i/>
              </w:rPr>
              <w:t>669</w:t>
            </w:r>
            <w:r w:rsidRPr="00421CE3">
              <w:t> 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100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Momchil Nekov,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w:t>
            </w:r>
            <w:r w:rsidRPr="00421CE3">
              <w:t> </w:t>
            </w:r>
            <w:r w:rsidRPr="00421CE3">
              <w:rPr>
                <w:b/>
                <w:i/>
              </w:rPr>
              <w:t>195</w:t>
            </w:r>
            <w:r w:rsidRPr="00421CE3">
              <w:t> </w:t>
            </w:r>
            <w:r w:rsidRPr="00421CE3">
              <w:rPr>
                <w:b/>
                <w:i/>
              </w:rPr>
              <w:t>669</w:t>
            </w:r>
            <w:r w:rsidRPr="00421CE3">
              <w:t> 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100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Daciana Octavia Sârbu, Pavel Poc</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w:t>
            </w:r>
            <w:r w:rsidRPr="00421CE3">
              <w:t> </w:t>
            </w:r>
            <w:r w:rsidRPr="00421CE3">
              <w:rPr>
                <w:b/>
                <w:i/>
              </w:rPr>
              <w:t>195</w:t>
            </w:r>
            <w:r w:rsidRPr="00421CE3">
              <w:t> </w:t>
            </w:r>
            <w:r w:rsidRPr="00421CE3">
              <w:rPr>
                <w:b/>
                <w:i/>
              </w:rPr>
              <w:t>669</w:t>
            </w:r>
            <w:r w:rsidRPr="00421CE3">
              <w:t> 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100</w:t>
            </w:r>
            <w:r w:rsidRPr="00421CE3">
              <w:t> </w:t>
            </w:r>
            <w:r w:rsidRPr="00421CE3">
              <w:rPr>
                <w:b/>
                <w:i/>
              </w:rPr>
              <w:t>000</w:t>
            </w:r>
            <w:r w:rsidRPr="00421CE3">
              <w:t> </w:t>
            </w:r>
            <w:r w:rsidRPr="00421CE3">
              <w:rPr>
                <w:b/>
                <w:i/>
              </w:rPr>
              <w:t>000</w:t>
            </w:r>
            <w:r w:rsidRPr="00421CE3">
              <w:t> 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Ces adaptations du budget ont pour but de maintenir le niveau actuel des dépenses consacrées au programme en faveur des fruits et légumes après le départ du Royaume-Uni de l’Union.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279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 xml:space="preserve">pour le lait à l'école: </w:t>
            </w:r>
            <w:r w:rsidRPr="00421CE3">
              <w:rPr>
                <w:b/>
                <w:i/>
              </w:rPr>
              <w:t>90 195 669 </w:t>
            </w:r>
            <w:r w:rsidRPr="00421CE3">
              <w:t>EUR par année scolaire;</w:t>
            </w:r>
          </w:p>
        </w:tc>
        <w:tc>
          <w:tcPr>
            <w:tcW w:w="4876" w:type="dxa"/>
            <w:hideMark/>
          </w:tcPr>
          <w:p w:rsidR="002F2A46" w:rsidRPr="00421CE3" w:rsidRDefault="002F2A46" w:rsidP="003A3553">
            <w:pPr>
              <w:pStyle w:val="Normal6"/>
              <w:rPr>
                <w:noProof/>
                <w:szCs w:val="24"/>
              </w:rPr>
            </w:pPr>
            <w:r w:rsidRPr="00421CE3">
              <w:t>b)</w:t>
            </w:r>
            <w:r w:rsidRPr="00421CE3">
              <w:tab/>
              <w:t xml:space="preserve">pour le lait à l'école: </w:t>
            </w:r>
            <w:r w:rsidRPr="00421CE3">
              <w:rPr>
                <w:b/>
                <w:i/>
              </w:rPr>
              <w:t>100 000 000 </w:t>
            </w:r>
            <w:r w:rsidRPr="00421CE3">
              <w:t>EUR par année scolaire;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280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4 – sous-point c i</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23 bis – paragraphe 2</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proposé par la Commission</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rPr>
                <w:b/>
                <w:i/>
              </w:rPr>
              <w:t>ii)</w:t>
            </w:r>
            <w:r w:rsidRPr="00DE5BAE">
              <w:rPr>
                <w:b/>
                <w:i/>
              </w:rPr>
              <w:tab/>
              <w:t>au paragraphe 2, troisième alinéa, la dernière phrase est supprimée;</w:t>
            </w:r>
          </w:p>
        </w:tc>
        <w:tc>
          <w:tcPr>
            <w:tcW w:w="4876" w:type="dxa"/>
            <w:hideMark/>
          </w:tcPr>
          <w:p w:rsidR="002F2A46" w:rsidRPr="00DE5BAE" w:rsidRDefault="002F2A46" w:rsidP="003A3553">
            <w:pPr>
              <w:pStyle w:val="Normal6"/>
              <w:rPr>
                <w:noProof/>
                <w:szCs w:val="24"/>
              </w:rPr>
            </w:pPr>
            <w:r w:rsidRPr="00DE5BAE">
              <w:rPr>
                <w:b/>
                <w:i/>
              </w:rPr>
              <w:t>supprimé</w:t>
            </w:r>
          </w:p>
        </w:tc>
      </w:tr>
    </w:tbl>
    <w:p w:rsidR="002F2A46" w:rsidRPr="00A53FF9" w:rsidRDefault="002F2A46" w:rsidP="002F2A46">
      <w:pPr>
        <w:pStyle w:val="Olang"/>
        <w:rPr>
          <w:szCs w:val="24"/>
        </w:rPr>
      </w:pPr>
      <w:r w:rsidRPr="00DE5BAE">
        <w:t xml:space="preserve">Or. </w:t>
      </w:r>
      <w:r w:rsidRPr="001B63D7">
        <w:rPr>
          <w:rStyle w:val="HideTWBExt"/>
        </w:rPr>
        <w:t>&lt;Original&gt;</w:t>
      </w:r>
      <w:r w:rsidRPr="001B63D7">
        <w:rPr>
          <w:rStyle w:val="HideTWBInt"/>
        </w:rPr>
        <w:t>{RO}</w:t>
      </w:r>
      <w:r w:rsidRPr="00DE5BAE">
        <w:t>ro</w:t>
      </w:r>
      <w:r w:rsidRPr="001B63D7">
        <w:rPr>
          <w:rStyle w:val="HideTWBExt"/>
        </w:rPr>
        <w:t>&lt;/Original&gt;</w:t>
      </w:r>
    </w:p>
    <w:p w:rsidR="002F2A46" w:rsidRPr="00A53FF9" w:rsidRDefault="002F2A46" w:rsidP="002F2A46">
      <w:pPr>
        <w:pStyle w:val="CrossRef"/>
        <w:rPr>
          <w:noProof/>
        </w:rPr>
      </w:pPr>
      <w:r>
        <w:t>(https://eur-lex.europa.eu/legal-content/FR/TXT/HTML/?uri=CELEX:02013R1308-20180101&amp;from=FR)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281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4 – sous-point c iii – partie introductive</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23 bis – paragraphe 4</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iii)</w:t>
            </w:r>
            <w:r w:rsidRPr="00A53FF9">
              <w:tab/>
            </w:r>
            <w:r w:rsidRPr="00A53FF9">
              <w:rPr>
                <w:b/>
                <w:i/>
              </w:rPr>
              <w:t>le</w:t>
            </w:r>
            <w:r w:rsidRPr="00A53FF9">
              <w:t xml:space="preserve"> paragraphe 4 est remplacé par le texte suivant:</w:t>
            </w:r>
          </w:p>
        </w:tc>
        <w:tc>
          <w:tcPr>
            <w:tcW w:w="4876" w:type="dxa"/>
            <w:hideMark/>
          </w:tcPr>
          <w:p w:rsidR="002F2A46" w:rsidRPr="00A53FF9" w:rsidRDefault="002F2A46" w:rsidP="003A3553">
            <w:pPr>
              <w:pStyle w:val="Normal6"/>
              <w:rPr>
                <w:szCs w:val="24"/>
              </w:rPr>
            </w:pPr>
            <w:r w:rsidRPr="00A53FF9">
              <w:t>iii)</w:t>
            </w:r>
            <w:r w:rsidRPr="00A53FF9">
              <w:tab/>
            </w:r>
            <w:r w:rsidRPr="00A53FF9">
              <w:rPr>
                <w:b/>
                <w:i/>
              </w:rPr>
              <w:t>Au</w:t>
            </w:r>
            <w:r w:rsidRPr="00A53FF9">
              <w:t xml:space="preserve"> paragraphe 4</w:t>
            </w:r>
            <w:r w:rsidRPr="00A53FF9">
              <w:rPr>
                <w:b/>
                <w:i/>
              </w:rPr>
              <w:t>, le premier sous-paragraphe</w:t>
            </w:r>
            <w:r w:rsidRPr="00A53FF9">
              <w:t xml:space="preserve"> est remplacé par le texte suivant:</w:t>
            </w: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(https://eur-lex.europa.eu/legal-content/FR/TXT/HTML/?uri=CELEX:02013R1308-20180101&amp;from=FR)</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corriger une formulation maladroite de la proposition de la Commission qui ne visait qu'à modifier le premier sous-paragraphe du paragraphe 4 de l'article 23bis, sans toucher aux autres sous-paragraphes.</w:t>
      </w:r>
    </w:p>
    <w:p w:rsidR="002F2A46" w:rsidRPr="00A53FF9" w:rsidRDefault="002F2A46" w:rsidP="002F2A46">
      <w:r w:rsidRPr="00A53FF9">
        <w:rPr>
          <w:rStyle w:val="HideTWBExt"/>
        </w:rPr>
        <w:t>&lt;/Amend&gt;</w:t>
      </w:r>
    </w:p>
    <w:p w:rsidR="002F2A46" w:rsidRPr="00C02763" w:rsidRDefault="002F2A46" w:rsidP="002F2A46">
      <w:pPr>
        <w:pStyle w:val="AMNumberTabs"/>
        <w:keepNext/>
        <w:rPr>
          <w:noProof/>
          <w:lang w:val="pl-PL"/>
        </w:rPr>
      </w:pPr>
      <w:r w:rsidRPr="00C02763">
        <w:rPr>
          <w:rStyle w:val="HideTWBExt"/>
          <w:b w:val="0"/>
          <w:lang w:val="pl-PL"/>
        </w:rPr>
        <w:t>&lt;Amend&gt;</w:t>
      </w:r>
      <w:r w:rsidRPr="00C02763">
        <w:rPr>
          <w:lang w:val="pl-PL"/>
        </w:rPr>
        <w:t>Amendement</w:t>
      </w:r>
      <w:r w:rsidRPr="00C02763">
        <w:rPr>
          <w:lang w:val="pl-PL"/>
        </w:rPr>
        <w:tab/>
      </w:r>
      <w:r w:rsidRPr="00C02763">
        <w:rPr>
          <w:lang w:val="pl-PL"/>
        </w:rPr>
        <w:tab/>
      </w:r>
      <w:r w:rsidRPr="00C02763">
        <w:rPr>
          <w:rStyle w:val="HideTWBExt"/>
          <w:b w:val="0"/>
          <w:lang w:val="pl-PL"/>
        </w:rPr>
        <w:t>&lt;NumAm&gt;</w:t>
      </w:r>
      <w:r w:rsidRPr="00C02763">
        <w:rPr>
          <w:lang w:val="pl-PL"/>
        </w:rPr>
        <w:t>282</w:t>
      </w:r>
      <w:r w:rsidRPr="00C02763">
        <w:rPr>
          <w:rStyle w:val="HideTWBExt"/>
          <w:b w:val="0"/>
          <w:lang w:val="pl-PL"/>
        </w:rPr>
        <w:t>&lt;/NumAm&gt;</w:t>
      </w:r>
    </w:p>
    <w:p w:rsidR="002F2A46" w:rsidRPr="00C02763" w:rsidRDefault="002F2A46" w:rsidP="002F2A46">
      <w:pPr>
        <w:pStyle w:val="NormalBold"/>
        <w:rPr>
          <w:noProof/>
          <w:lang w:val="pl-PL"/>
        </w:rPr>
      </w:pPr>
      <w:r w:rsidRPr="00C02763">
        <w:rPr>
          <w:rStyle w:val="HideTWBExt"/>
          <w:b w:val="0"/>
          <w:lang w:val="pl-PL"/>
        </w:rPr>
        <w:t>&lt;RepeatBlock-By&gt;&lt;Members&gt;</w:t>
      </w:r>
      <w:r w:rsidRPr="00C02763">
        <w:rPr>
          <w:lang w:val="pl-PL"/>
        </w:rPr>
        <w:t>Jarosław Kalinowski, Czesław Adam Siekierski</w:t>
      </w:r>
      <w:r w:rsidRPr="00C02763">
        <w:rPr>
          <w:rStyle w:val="HideTWBExt"/>
          <w:b w:val="0"/>
          <w:lang w:val="pl-PL"/>
        </w:rPr>
        <w:t>&lt;/Members&gt;</w:t>
      </w:r>
    </w:p>
    <w:p w:rsidR="002F2A46" w:rsidRPr="00C02763" w:rsidRDefault="002F2A46" w:rsidP="002F2A46">
      <w:pPr>
        <w:rPr>
          <w:noProof/>
          <w:lang w:val="pl-PL"/>
        </w:rPr>
      </w:pPr>
      <w:r w:rsidRPr="00C02763">
        <w:rPr>
          <w:rStyle w:val="HideTWBExt"/>
          <w:lang w:val="pl-PL"/>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4 – sous-point c iii</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23 bis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iii)</w:t>
            </w:r>
            <w:r w:rsidRPr="00393A53">
              <w:rPr>
                <w:b/>
                <w:i/>
              </w:rPr>
              <w:tab/>
              <w:t>le paragraphe 4 est remplacé par le texte suivant:</w:t>
            </w:r>
          </w:p>
        </w:tc>
        <w:tc>
          <w:tcPr>
            <w:tcW w:w="4876" w:type="dxa"/>
            <w:hideMark/>
          </w:tcPr>
          <w:p w:rsidR="002F2A46" w:rsidRPr="00393A53" w:rsidRDefault="002F2A46" w:rsidP="003A3553">
            <w:pPr>
              <w:pStyle w:val="Normal6"/>
              <w:rPr>
                <w:noProof/>
                <w:szCs w:val="24"/>
              </w:rPr>
            </w:pPr>
            <w:r w:rsidRPr="00393A53">
              <w:rPr>
                <w:b/>
                <w:i/>
              </w:rPr>
              <w:t>supprimé</w:t>
            </w: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r w:rsidRPr="00393A53">
              <w:rPr>
                <w:b/>
                <w:i/>
              </w:rPr>
              <w:t>«4.</w:t>
            </w:r>
            <w:r w:rsidRPr="00393A53">
              <w:rPr>
                <w:b/>
                <w:i/>
              </w:rPr>
              <w:tab/>
              <w:t>Sans dépasser la limite globale de 220 804 135 EUR établie au paragraphe 1, tout État membre peut transférer, une fois par année scolaire, jusqu'à 20 % de l'une ou l'autre de ses enveloppes indicatives.»;</w:t>
            </w:r>
          </w:p>
        </w:tc>
        <w:tc>
          <w:tcPr>
            <w:tcW w:w="4876" w:type="dxa"/>
          </w:tcPr>
          <w:p w:rsidR="002F2A46" w:rsidRPr="00393A53" w:rsidRDefault="002F2A46" w:rsidP="003A3553">
            <w:pPr>
              <w:pStyle w:val="Normal6"/>
              <w:rPr>
                <w:noProof/>
                <w:szCs w:val="24"/>
              </w:rPr>
            </w:pPr>
          </w:p>
        </w:tc>
      </w:tr>
      <w:tr w:rsidR="002F2A46" w:rsidRPr="00A53FF9" w:rsidTr="003A3553">
        <w:trPr>
          <w:jc w:val="center"/>
        </w:trPr>
        <w:tc>
          <w:tcPr>
            <w:tcW w:w="4876" w:type="dxa"/>
            <w:hideMark/>
          </w:tcPr>
          <w:p w:rsidR="002F2A46" w:rsidRPr="00393A53" w:rsidRDefault="002F2A46" w:rsidP="003A3553">
            <w:pPr>
              <w:pStyle w:val="Normal6"/>
              <w:rPr>
                <w:noProof/>
              </w:rPr>
            </w:pPr>
          </w:p>
        </w:tc>
        <w:tc>
          <w:tcPr>
            <w:tcW w:w="4876" w:type="dxa"/>
          </w:tcPr>
          <w:p w:rsidR="002F2A46" w:rsidRPr="00393A53"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{PL}</w:t>
      </w:r>
      <w:r w:rsidRPr="00CD03D8">
        <w:rPr>
          <w:lang w:val="en-GB"/>
        </w:rPr>
        <w:t>pl</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A53FF9" w:rsidRDefault="002F2A46" w:rsidP="002F2A46">
      <w:pPr>
        <w:pStyle w:val="Normal12Italic"/>
      </w:pPr>
      <w:r>
        <w:t>La réduction du budget alloué au programme à destination des écoles risque de restreindre encore davantage la distribution de produits aux établissements d’enseignement, alors que les modes de vie sains et la lutte contre l’obésité parmi les enfants et les jeunes forment un objectif du programme et sont donc incontournables. Le budget des programmes à destination des écoles devrait être maintenu au moins au niveau actuel, soit 250 millions d’euros.</w:t>
      </w:r>
    </w:p>
    <w:p w:rsidR="002F2A46" w:rsidRPr="00A53FF9" w:rsidRDefault="002F2A46" w:rsidP="002F2A46">
      <w:pPr>
        <w:rPr>
          <w:noProof/>
        </w:rPr>
      </w:pPr>
      <w:r>
        <w:rPr>
          <w:rStyle w:val="HideTWBExt"/>
        </w:rPr>
        <w:t>&lt;/Amend&gt;</w:t>
      </w:r>
    </w:p>
    <w:p w:rsidR="002F2A46" w:rsidRPr="0011491A" w:rsidRDefault="002F2A46" w:rsidP="002F2A46">
      <w:pPr>
        <w:pStyle w:val="AMNumberTabs"/>
        <w:keepNext/>
        <w:rPr>
          <w:noProof/>
          <w:lang w:val="pt-PT"/>
        </w:rPr>
      </w:pPr>
      <w:r w:rsidRPr="0011491A">
        <w:rPr>
          <w:rStyle w:val="HideTWBExt"/>
          <w:b w:val="0"/>
          <w:lang w:val="pt-PT"/>
        </w:rPr>
        <w:t>&lt;Amend&gt;</w:t>
      </w:r>
      <w:r w:rsidRPr="0011491A">
        <w:rPr>
          <w:lang w:val="pt-PT"/>
        </w:rPr>
        <w:t>Amendement</w:t>
      </w:r>
      <w:r w:rsidRPr="0011491A">
        <w:rPr>
          <w:lang w:val="pt-PT"/>
        </w:rPr>
        <w:tab/>
      </w:r>
      <w:r w:rsidRPr="0011491A">
        <w:rPr>
          <w:lang w:val="pt-PT"/>
        </w:rPr>
        <w:tab/>
      </w:r>
      <w:r w:rsidRPr="0011491A">
        <w:rPr>
          <w:rStyle w:val="HideTWBExt"/>
          <w:b w:val="0"/>
          <w:lang w:val="pt-PT"/>
        </w:rPr>
        <w:t>&lt;NumAm&gt;</w:t>
      </w:r>
      <w:r w:rsidRPr="0011491A">
        <w:rPr>
          <w:lang w:val="pt-PT"/>
        </w:rPr>
        <w:t>283</w:t>
      </w:r>
      <w:r w:rsidRPr="0011491A">
        <w:rPr>
          <w:rStyle w:val="HideTWBExt"/>
          <w:b w:val="0"/>
          <w:lang w:val="pt-PT"/>
        </w:rPr>
        <w:t>&lt;/NumAm&gt;</w:t>
      </w:r>
    </w:p>
    <w:p w:rsidR="002F2A46" w:rsidRPr="0011491A" w:rsidRDefault="002F2A46" w:rsidP="002F2A46">
      <w:pPr>
        <w:pStyle w:val="NormalBold"/>
        <w:rPr>
          <w:noProof/>
          <w:lang w:val="pt-PT"/>
        </w:rPr>
      </w:pPr>
      <w:r w:rsidRPr="0011491A">
        <w:rPr>
          <w:rStyle w:val="HideTWBExt"/>
          <w:b w:val="0"/>
          <w:lang w:val="pt-PT"/>
        </w:rPr>
        <w:t>&lt;RepeatBlock-By&gt;&lt;Members&gt;</w:t>
      </w:r>
      <w:r w:rsidRPr="0011491A">
        <w:rPr>
          <w:lang w:val="pt-PT"/>
        </w:rPr>
        <w:t>Ricardo Serrão Santos, Liliana Rodrigues, Juan Fernando López Aguilar, Louis-Joseph Manscour, Maurice Ponga, Gabriel Mato, Sofia Ribeiro, Cláudia Monteiro de Aguiar</w:t>
      </w:r>
      <w:r w:rsidRPr="0011491A">
        <w:rPr>
          <w:rStyle w:val="HideTWBExt"/>
          <w:b w:val="0"/>
          <w:lang w:val="pt-PT"/>
        </w:rPr>
        <w:t>&lt;/Members&gt;</w:t>
      </w:r>
    </w:p>
    <w:p w:rsidR="002F2A46" w:rsidRPr="0011491A" w:rsidRDefault="002F2A46" w:rsidP="002F2A46">
      <w:pPr>
        <w:rPr>
          <w:noProof/>
          <w:lang w:val="pt-PT"/>
        </w:rPr>
      </w:pPr>
      <w:r w:rsidRPr="0011491A">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iii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4.</w:t>
            </w:r>
            <w:r w:rsidRPr="00421CE3">
              <w:tab/>
              <w:t>Sans dépasser la limite globale de 220 804 135 EUR établie au paragraphe 1, tout État membre peut transférer, une fois par année scolaire, jusqu'à 20 % de l'une ou l'autre de ses enveloppes indicatives.</w:t>
            </w:r>
          </w:p>
        </w:tc>
        <w:tc>
          <w:tcPr>
            <w:tcW w:w="4876" w:type="dxa"/>
            <w:hideMark/>
          </w:tcPr>
          <w:p w:rsidR="002F2A46" w:rsidRPr="00421CE3" w:rsidRDefault="002F2A46" w:rsidP="003A3553">
            <w:pPr>
              <w:pStyle w:val="Normal6"/>
              <w:rPr>
                <w:noProof/>
                <w:szCs w:val="24"/>
              </w:rPr>
            </w:pPr>
            <w:r w:rsidRPr="00421CE3">
              <w:t>4.</w:t>
            </w:r>
            <w:r w:rsidRPr="00421CE3">
              <w:tab/>
              <w:t xml:space="preserve">Sans dépasser la limite globale de 220 804 135 EUR établie au paragraphe 1, tout État membre peut transférer, une fois par année scolaire, jusqu'à 20 % de l'une ou l'autre de ses enveloppes indicatives; </w:t>
            </w:r>
            <w:r w:rsidRPr="00421CE3">
              <w:rPr>
                <w:b/>
                <w:i/>
              </w:rPr>
              <w:t>ce pourcentage peut être porté à 25 % en ce qui concerne les États membres ayant des régions ultrapériphériques énumérées à l’article 349 du traité FUE et dans d’autres cas dûment motivés.</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Ce paragraphe avait été supprimé dans la proposition de la Commission.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284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iii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4.</w:t>
            </w:r>
            <w:r w:rsidRPr="00421CE3">
              <w:tab/>
              <w:t xml:space="preserve">Sans dépasser la limite globale de </w:t>
            </w:r>
            <w:r w:rsidRPr="00421CE3">
              <w:rPr>
                <w:b/>
                <w:i/>
              </w:rPr>
              <w:t>220</w:t>
            </w:r>
            <w:r w:rsidRPr="00421CE3">
              <w:t> </w:t>
            </w:r>
            <w:r w:rsidRPr="00421CE3">
              <w:rPr>
                <w:b/>
                <w:i/>
              </w:rPr>
              <w:t>804</w:t>
            </w:r>
            <w:r w:rsidRPr="00421CE3">
              <w:t> </w:t>
            </w:r>
            <w:r w:rsidRPr="00421CE3">
              <w:rPr>
                <w:b/>
                <w:i/>
              </w:rPr>
              <w:t>135</w:t>
            </w:r>
            <w:r w:rsidRPr="00421CE3">
              <w:t> EUR établie au paragraphe 1, tout État membre peut transférer, une fois par année scolaire, jusqu'à 20 % de l'une ou l'autre de ses enveloppes indicatives.</w:t>
            </w:r>
          </w:p>
        </w:tc>
        <w:tc>
          <w:tcPr>
            <w:tcW w:w="4876" w:type="dxa"/>
            <w:hideMark/>
          </w:tcPr>
          <w:p w:rsidR="002F2A46" w:rsidRPr="00421CE3" w:rsidRDefault="002F2A46" w:rsidP="003A3553">
            <w:pPr>
              <w:pStyle w:val="Normal6"/>
              <w:rPr>
                <w:noProof/>
                <w:szCs w:val="24"/>
              </w:rPr>
            </w:pPr>
            <w:r w:rsidRPr="00421CE3">
              <w:t>4.</w:t>
            </w:r>
            <w:r w:rsidRPr="00421CE3">
              <w:tab/>
              <w:t xml:space="preserve">Sans dépasser la limite globale de </w:t>
            </w:r>
            <w:r w:rsidRPr="00421CE3">
              <w:rPr>
                <w:b/>
                <w:i/>
              </w:rPr>
              <w:t>250</w:t>
            </w:r>
            <w:r w:rsidRPr="00421CE3">
              <w:t> </w:t>
            </w:r>
            <w:r w:rsidRPr="00421CE3">
              <w:rPr>
                <w:b/>
                <w:i/>
              </w:rPr>
              <w:t>000</w:t>
            </w:r>
            <w:r w:rsidRPr="00421CE3">
              <w:t> </w:t>
            </w:r>
            <w:r w:rsidRPr="00421CE3">
              <w:rPr>
                <w:b/>
                <w:i/>
              </w:rPr>
              <w:t>000</w:t>
            </w:r>
            <w:r w:rsidRPr="00421CE3">
              <w:t> EUR établie au paragraphe 1, tout État membre peut transférer, une fois par année scolaire, jusqu'à 20 % de l'une ou l'autre de ses enveloppes indicatives.</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11491A" w:rsidRDefault="002F2A46" w:rsidP="002F2A46">
      <w:pPr>
        <w:pStyle w:val="AMNumberTabs"/>
        <w:keepNext/>
        <w:rPr>
          <w:noProof/>
          <w:lang w:val="pt-PT"/>
        </w:rPr>
      </w:pPr>
      <w:r w:rsidRPr="0011491A">
        <w:rPr>
          <w:rStyle w:val="HideTWBExt"/>
          <w:b w:val="0"/>
          <w:lang w:val="pt-PT"/>
        </w:rPr>
        <w:t>&lt;Amend&gt;</w:t>
      </w:r>
      <w:r w:rsidRPr="0011491A">
        <w:rPr>
          <w:lang w:val="pt-PT"/>
        </w:rPr>
        <w:t>Amendement</w:t>
      </w:r>
      <w:r w:rsidRPr="0011491A">
        <w:rPr>
          <w:lang w:val="pt-PT"/>
        </w:rPr>
        <w:tab/>
      </w:r>
      <w:r w:rsidRPr="0011491A">
        <w:rPr>
          <w:lang w:val="pt-PT"/>
        </w:rPr>
        <w:tab/>
      </w:r>
      <w:r w:rsidRPr="0011491A">
        <w:rPr>
          <w:rStyle w:val="HideTWBExt"/>
          <w:b w:val="0"/>
          <w:lang w:val="pt-PT"/>
        </w:rPr>
        <w:t>&lt;NumAm&gt;</w:t>
      </w:r>
      <w:r w:rsidRPr="0011491A">
        <w:rPr>
          <w:lang w:val="pt-PT"/>
        </w:rPr>
        <w:t>285</w:t>
      </w:r>
      <w:r w:rsidRPr="0011491A">
        <w:rPr>
          <w:rStyle w:val="HideTWBExt"/>
          <w:b w:val="0"/>
          <w:lang w:val="pt-PT"/>
        </w:rPr>
        <w:t>&lt;/NumAm&gt;</w:t>
      </w:r>
    </w:p>
    <w:p w:rsidR="002F2A46" w:rsidRPr="0011491A" w:rsidRDefault="002F2A46" w:rsidP="002F2A46">
      <w:pPr>
        <w:pStyle w:val="NormalBold"/>
        <w:rPr>
          <w:noProof/>
          <w:lang w:val="pt-PT"/>
        </w:rPr>
      </w:pPr>
      <w:r w:rsidRPr="0011491A">
        <w:rPr>
          <w:rStyle w:val="HideTWBExt"/>
          <w:b w:val="0"/>
          <w:lang w:val="pt-PT"/>
        </w:rPr>
        <w:t>&lt;RepeatBlock-By&gt;&lt;Members&gt;</w:t>
      </w:r>
      <w:r w:rsidRPr="0011491A">
        <w:rPr>
          <w:lang w:val="pt-PT"/>
        </w:rPr>
        <w:t>Maria Gabriela Zoană, Pavel Poc</w:t>
      </w:r>
      <w:r w:rsidRPr="0011491A">
        <w:rPr>
          <w:rStyle w:val="HideTWBExt"/>
          <w:b w:val="0"/>
          <w:lang w:val="pt-PT"/>
        </w:rPr>
        <w:t>&lt;/Members&gt;</w:t>
      </w:r>
    </w:p>
    <w:p w:rsidR="002F2A46" w:rsidRPr="0011491A" w:rsidRDefault="002F2A46" w:rsidP="002F2A46">
      <w:pPr>
        <w:rPr>
          <w:noProof/>
          <w:lang w:val="pt-PT"/>
        </w:rPr>
      </w:pPr>
      <w:r w:rsidRPr="0011491A">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iii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4.</w:t>
            </w:r>
            <w:r w:rsidRPr="00421CE3">
              <w:tab/>
              <w:t xml:space="preserve">Sans dépasser la limite globale de </w:t>
            </w:r>
            <w:r w:rsidRPr="00421CE3">
              <w:rPr>
                <w:b/>
                <w:i/>
              </w:rPr>
              <w:t>220</w:t>
            </w:r>
            <w:r w:rsidRPr="00421CE3">
              <w:t> </w:t>
            </w:r>
            <w:r w:rsidRPr="00421CE3">
              <w:rPr>
                <w:b/>
                <w:i/>
              </w:rPr>
              <w:t>804</w:t>
            </w:r>
            <w:r w:rsidRPr="00421CE3">
              <w:t> </w:t>
            </w:r>
            <w:r w:rsidRPr="00421CE3">
              <w:rPr>
                <w:b/>
                <w:i/>
              </w:rPr>
              <w:t>135</w:t>
            </w:r>
            <w:r w:rsidRPr="00421CE3">
              <w:t> EUR établie au paragraphe 1, tout État membre peut transférer, une fois par année scolaire, jusqu'à 20 % de l'une ou l'autre de ses enveloppes indicatives.</w:t>
            </w:r>
          </w:p>
        </w:tc>
        <w:tc>
          <w:tcPr>
            <w:tcW w:w="4876" w:type="dxa"/>
            <w:hideMark/>
          </w:tcPr>
          <w:p w:rsidR="002F2A46" w:rsidRPr="00421CE3" w:rsidRDefault="002F2A46" w:rsidP="003A3553">
            <w:pPr>
              <w:pStyle w:val="Normal6"/>
              <w:rPr>
                <w:noProof/>
                <w:szCs w:val="24"/>
              </w:rPr>
            </w:pPr>
            <w:r w:rsidRPr="00421CE3">
              <w:t>4.</w:t>
            </w:r>
            <w:r w:rsidRPr="00421CE3">
              <w:tab/>
              <w:t xml:space="preserve">Sans dépasser la limite globale de </w:t>
            </w:r>
            <w:r w:rsidRPr="00421CE3">
              <w:rPr>
                <w:b/>
                <w:i/>
              </w:rPr>
              <w:t>250</w:t>
            </w:r>
            <w:r w:rsidRPr="00421CE3">
              <w:t> </w:t>
            </w:r>
            <w:r w:rsidRPr="00421CE3">
              <w:rPr>
                <w:b/>
                <w:i/>
              </w:rPr>
              <w:t>000</w:t>
            </w:r>
            <w:r w:rsidRPr="00421CE3">
              <w:t> </w:t>
            </w:r>
            <w:r w:rsidRPr="00421CE3">
              <w:rPr>
                <w:b/>
                <w:i/>
              </w:rPr>
              <w:t>000</w:t>
            </w:r>
            <w:r w:rsidRPr="00421CE3">
              <w:t> EUR établie au paragraphe 1, tout État membre peut transférer, une fois par année scolaire, jusqu'à 20 % de l'une ou l'autre de ses enveloppes indicatives.</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286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c iii</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23 bis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4.</w:t>
            </w:r>
            <w:r w:rsidRPr="00421CE3">
              <w:tab/>
              <w:t xml:space="preserve">Sans dépasser la limite globale de </w:t>
            </w:r>
            <w:r w:rsidRPr="00421CE3">
              <w:rPr>
                <w:b/>
                <w:i/>
              </w:rPr>
              <w:t>220</w:t>
            </w:r>
            <w:r w:rsidRPr="00421CE3">
              <w:t> </w:t>
            </w:r>
            <w:r w:rsidRPr="00421CE3">
              <w:rPr>
                <w:b/>
                <w:i/>
              </w:rPr>
              <w:t>804</w:t>
            </w:r>
            <w:r w:rsidRPr="00421CE3">
              <w:t> </w:t>
            </w:r>
            <w:r w:rsidRPr="00421CE3">
              <w:rPr>
                <w:b/>
                <w:i/>
              </w:rPr>
              <w:t>135</w:t>
            </w:r>
            <w:r w:rsidRPr="00421CE3">
              <w:t> EUR établie au paragraphe 1, tout État membre peut transférer, une fois par année scolaire, jusqu'à 20 % de l'une ou l'autre de ses enveloppes indicatives.</w:t>
            </w:r>
          </w:p>
        </w:tc>
        <w:tc>
          <w:tcPr>
            <w:tcW w:w="4876" w:type="dxa"/>
            <w:hideMark/>
          </w:tcPr>
          <w:p w:rsidR="002F2A46" w:rsidRPr="00421CE3" w:rsidRDefault="002F2A46" w:rsidP="003A3553">
            <w:pPr>
              <w:pStyle w:val="Normal6"/>
              <w:rPr>
                <w:noProof/>
                <w:szCs w:val="24"/>
              </w:rPr>
            </w:pPr>
            <w:r w:rsidRPr="00421CE3">
              <w:t>4.</w:t>
            </w:r>
            <w:r w:rsidRPr="00421CE3">
              <w:tab/>
              <w:t xml:space="preserve">Sans dépasser la limite globale de </w:t>
            </w:r>
            <w:r w:rsidRPr="00421CE3">
              <w:rPr>
                <w:b/>
                <w:i/>
              </w:rPr>
              <w:t>270</w:t>
            </w:r>
            <w:r w:rsidRPr="00421CE3">
              <w:t> </w:t>
            </w:r>
            <w:r w:rsidRPr="00421CE3">
              <w:rPr>
                <w:b/>
                <w:i/>
              </w:rPr>
              <w:t>000</w:t>
            </w:r>
            <w:r w:rsidRPr="00421CE3">
              <w:t> </w:t>
            </w:r>
            <w:r w:rsidRPr="00421CE3">
              <w:rPr>
                <w:b/>
                <w:i/>
              </w:rPr>
              <w:t>000</w:t>
            </w:r>
            <w:r w:rsidRPr="00421CE3">
              <w:t> EUR établie au paragraphe 1, tout État membre peut transférer, une fois par année scolaire, jusqu'à 20 % de l'une ou l'autre de ses enveloppes indicatives.</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Nous devons préserver les programmes à destination des écoles et le budget qui leur est alloué, et nous tentons même de l’augmenter.</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287</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Gabriel Mato, Esther Herranz García,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4 – sous-point c iii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23 bis – paragraphe 4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iii bis)</w:t>
            </w:r>
            <w:r w:rsidRPr="00094D6B">
              <w:rPr>
                <w:b/>
                <w:i/>
              </w:rPr>
              <w:tab/>
              <w:t>Ce pourcentage peut être porté à 25 % en ce qui concerne les États membres ayant des régions ultrapériphériques énumérées à l'article 349 du traité sur le fonctionnement de l'Union européenne et dans d'autres cas dûment motivés.</w:t>
            </w:r>
          </w:p>
        </w:tc>
      </w:tr>
    </w:tbl>
    <w:p w:rsidR="002F2A46" w:rsidRPr="00CD03D8" w:rsidRDefault="002F2A46" w:rsidP="002F2A46">
      <w:pPr>
        <w:pStyle w:val="Olang"/>
        <w:rPr>
          <w:szCs w:val="24"/>
        </w:rPr>
      </w:pPr>
      <w:r w:rsidRPr="00CD03D8">
        <w:t xml:space="preserve">Or. </w:t>
      </w:r>
      <w:r w:rsidRPr="00CD03D8">
        <w:rPr>
          <w:rStyle w:val="HideTWBExt"/>
        </w:rPr>
        <w:t>&lt;Original&gt;</w:t>
      </w:r>
      <w:r w:rsidRPr="00CD03D8">
        <w:rPr>
          <w:rStyle w:val="HideTWBInt"/>
        </w:rPr>
        <w:t>{ES}</w:t>
      </w:r>
      <w:r w:rsidRPr="00CD03D8">
        <w:t>es</w:t>
      </w:r>
      <w:r w:rsidRPr="00CD03D8">
        <w:rPr>
          <w:rStyle w:val="HideTWBExt"/>
        </w:rPr>
        <w:t>&lt;/Original&gt;</w:t>
      </w:r>
    </w:p>
    <w:p w:rsidR="002F2A46" w:rsidRPr="00CD03D8" w:rsidRDefault="002F2A46" w:rsidP="002F2A46">
      <w:pPr>
        <w:rPr>
          <w:noProof/>
        </w:rPr>
      </w:pPr>
      <w:r w:rsidRPr="00CD03D8">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288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Tomáš Zdechovský</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{CONT}</w:t>
      </w:r>
      <w:r w:rsidRPr="00421CE3">
        <w:t>au nom de la commission du contrôle budgétaire</w:t>
      </w:r>
      <w:r>
        <w:rPr>
          <w:rStyle w:val="HideTWBExt"/>
        </w:rPr>
        <w:t>&lt;/AuNomDe&gt;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a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 bis)</w:t>
            </w:r>
            <w:r w:rsidRPr="00421CE3">
              <w:rPr>
                <w:b/>
                <w:i/>
              </w:rPr>
              <w:tab/>
              <w:t>l’article 61 est remplacé par le texte suivant :</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Le régime d’autorisations de plantations de vigne établi au présent chapitre </w:t>
            </w:r>
            <w:r w:rsidRPr="00421CE3">
              <w:rPr>
                <w:b/>
                <w:i/>
              </w:rPr>
              <w:t>s’applique du 1</w:t>
            </w:r>
            <w:r w:rsidRPr="00421CE3">
              <w:rPr>
                <w:b/>
                <w:i/>
                <w:vertAlign w:val="superscript"/>
              </w:rPr>
              <w:t>er</w:t>
            </w:r>
            <w:r w:rsidRPr="00421CE3">
              <w:rPr>
                <w:b/>
                <w:i/>
              </w:rPr>
              <w:t> janvier 2016 au 31 décembre 2030,</w:t>
            </w:r>
            <w:r w:rsidRPr="00421CE3">
              <w:t xml:space="preserve"> la Commission </w:t>
            </w:r>
            <w:r w:rsidRPr="00421CE3">
              <w:rPr>
                <w:b/>
                <w:i/>
              </w:rPr>
              <w:t>devant procéder à un réexamen à mi-parcours</w:t>
            </w:r>
            <w:r w:rsidRPr="00421CE3">
              <w:t xml:space="preserve"> afin </w:t>
            </w:r>
            <w:r w:rsidRPr="00421CE3">
              <w:rPr>
                <w:b/>
                <w:i/>
              </w:rPr>
              <w:t>d’évaluer</w:t>
            </w:r>
            <w:r w:rsidRPr="00421CE3">
              <w:t xml:space="preserve"> le fonctionnement </w:t>
            </w:r>
            <w:r w:rsidRPr="00421CE3">
              <w:rPr>
                <w:b/>
                <w:i/>
              </w:rPr>
              <w:t>du régime</w:t>
            </w:r>
            <w:r w:rsidRPr="00421CE3">
              <w:t xml:space="preserve"> et, le cas échéant, de présenter des propositions.</w:t>
            </w:r>
          </w:p>
        </w:tc>
        <w:tc>
          <w:tcPr>
            <w:tcW w:w="4876" w:type="dxa"/>
            <w:hideMark/>
          </w:tcPr>
          <w:p w:rsidR="002F2A46" w:rsidRPr="00421CE3" w:rsidRDefault="002F2A46" w:rsidP="003A3553">
            <w:pPr>
              <w:pStyle w:val="Normal6"/>
              <w:rPr>
                <w:noProof/>
                <w:szCs w:val="24"/>
              </w:rPr>
            </w:pPr>
            <w:r w:rsidRPr="00421CE3">
              <w:rPr>
                <w:b/>
                <w:i/>
              </w:rPr>
              <w:t>«</w:t>
            </w:r>
            <w:r w:rsidRPr="00421CE3">
              <w:t xml:space="preserve">Le régime d’autorisations de plantations de vigne établi au présent chapitre </w:t>
            </w:r>
            <w:r w:rsidRPr="00421CE3">
              <w:rPr>
                <w:b/>
                <w:i/>
              </w:rPr>
              <w:t>fait l’objet d’un réexamen par</w:t>
            </w:r>
            <w:r w:rsidRPr="00421CE3">
              <w:t xml:space="preserve"> la Commission </w:t>
            </w:r>
            <w:r w:rsidRPr="00421CE3">
              <w:rPr>
                <w:b/>
                <w:i/>
              </w:rPr>
              <w:t>en 2023</w:t>
            </w:r>
            <w:r w:rsidRPr="00421CE3">
              <w:t xml:space="preserve"> afin </w:t>
            </w:r>
            <w:r w:rsidRPr="00421CE3">
              <w:rPr>
                <w:b/>
                <w:i/>
              </w:rPr>
              <w:t>d’en évaluer</w:t>
            </w:r>
            <w:r w:rsidRPr="00421CE3">
              <w:t xml:space="preserve"> le fonctionnement et, le cas échéant, de présenter des propositions</w:t>
            </w:r>
            <w:r w:rsidRPr="00421CE3">
              <w:rPr>
                <w:b/>
                <w:i/>
              </w:rPr>
              <w:t xml:space="preserve"> pour en améliorer l’efficacité</w:t>
            </w:r>
            <w:r w:rsidRPr="00421CE3">
              <w:t>.</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La mise en place du régime d’autorisations de plantations de vigne en remplacement du régime des droits de plantation lors de la réforme de 2013 donne satisfaction. Il y a donc lieu de pérenniser le régime tout en maintenant l’obligation d’évaluation afin de contribuer à l’améliorer si besoin est. La date choisie pour l’évaluation est suffisamment en amont pour que les résultats de l’évaluation puissent être versés aux travaux préparatoires de la prochaine période.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289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Norbert Erdős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4 – sous-point a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 bis)</w:t>
            </w:r>
            <w:r w:rsidRPr="00421CE3">
              <w:rPr>
                <w:b/>
                <w:i/>
              </w:rPr>
              <w:tab/>
              <w:t>l’article 61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Article 61</w:t>
            </w:r>
          </w:p>
        </w:tc>
        <w:tc>
          <w:tcPr>
            <w:tcW w:w="4876" w:type="dxa"/>
            <w:hideMark/>
          </w:tcPr>
          <w:p w:rsidR="002F2A46" w:rsidRPr="00421CE3" w:rsidRDefault="002F2A46" w:rsidP="003A3553">
            <w:pPr>
              <w:pStyle w:val="Normal6"/>
              <w:rPr>
                <w:noProof/>
                <w:szCs w:val="24"/>
              </w:rPr>
            </w:pPr>
            <w:r w:rsidRPr="00421CE3">
              <w:rPr>
                <w:b/>
                <w:i/>
              </w:rPr>
              <w:t>«</w:t>
            </w:r>
            <w:r w:rsidRPr="00421CE3">
              <w:t>Durée</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Durée</w:t>
            </w:r>
          </w:p>
        </w:tc>
        <w:tc>
          <w:tcPr>
            <w:tcW w:w="4876" w:type="dxa"/>
            <w:hideMark/>
          </w:tcPr>
          <w:p w:rsidR="002F2A46" w:rsidRPr="00421CE3" w:rsidRDefault="002F2A46" w:rsidP="003A3553">
            <w:pPr>
              <w:pStyle w:val="Normal6"/>
              <w:rPr>
                <w:noProof/>
                <w:szCs w:val="24"/>
              </w:rPr>
            </w:pPr>
            <w:r w:rsidRPr="00421CE3">
              <w:t xml:space="preserve">Le régime d'autorisations de plantations de vigne établi au présent chapitre </w:t>
            </w:r>
            <w:r w:rsidRPr="00421CE3">
              <w:rPr>
                <w:b/>
                <w:i/>
              </w:rPr>
              <w:t>fait l'objet d'un examen par</w:t>
            </w:r>
            <w:r w:rsidRPr="00421CE3">
              <w:t xml:space="preserve"> la Commission afin </w:t>
            </w:r>
            <w:r w:rsidRPr="00421CE3">
              <w:rPr>
                <w:b/>
                <w:i/>
              </w:rPr>
              <w:t>d'en évaluer</w:t>
            </w:r>
            <w:r w:rsidRPr="00421CE3">
              <w:t xml:space="preserve"> le fonctionnement </w:t>
            </w:r>
            <w:r w:rsidRPr="00421CE3">
              <w:rPr>
                <w:b/>
                <w:i/>
              </w:rPr>
              <w:t>en vue</w:t>
            </w:r>
            <w:r w:rsidRPr="00421CE3">
              <w:t xml:space="preserve">, le cas échéant, de présenter des propositions </w:t>
            </w:r>
            <w:r w:rsidRPr="00421CE3">
              <w:rPr>
                <w:b/>
                <w:i/>
              </w:rPr>
              <w:t>pour en améliorer l'efficacité</w:t>
            </w:r>
            <w:r w:rsidRPr="00421CE3">
              <w:t>.</w:t>
            </w:r>
            <w:r w:rsidR="00CD03D8" w:rsidRPr="00421CE3">
              <w:rPr>
                <w:b/>
                <w:i/>
              </w:rPr>
              <w: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Le régime d'autorisations de plantations de vigne établi au présent chapitre </w:t>
            </w:r>
            <w:r w:rsidRPr="00421CE3">
              <w:rPr>
                <w:b/>
                <w:i/>
              </w:rPr>
              <w:t>s'applique du 1</w:t>
            </w:r>
            <w:r w:rsidRPr="00421CE3">
              <w:rPr>
                <w:b/>
                <w:i/>
                <w:vertAlign w:val="superscript"/>
              </w:rPr>
              <w:t>er</w:t>
            </w:r>
            <w:r w:rsidRPr="00421CE3">
              <w:rPr>
                <w:b/>
                <w:i/>
              </w:rPr>
              <w:t> janvier 2016 au 31 décembre 2030,</w:t>
            </w:r>
            <w:r w:rsidRPr="00421CE3">
              <w:t xml:space="preserve"> la Commission </w:t>
            </w:r>
            <w:r w:rsidRPr="00421CE3">
              <w:rPr>
                <w:b/>
                <w:i/>
              </w:rPr>
              <w:t>devant procéder à un réexamen à mi-parcours</w:t>
            </w:r>
            <w:r w:rsidRPr="00421CE3">
              <w:t xml:space="preserve"> afin </w:t>
            </w:r>
            <w:r w:rsidRPr="00421CE3">
              <w:rPr>
                <w:b/>
                <w:i/>
              </w:rPr>
              <w:t>d'évaluer</w:t>
            </w:r>
            <w:r w:rsidRPr="00421CE3">
              <w:t xml:space="preserve"> le fonctionnement </w:t>
            </w:r>
            <w:r w:rsidRPr="00421CE3">
              <w:rPr>
                <w:b/>
                <w:i/>
              </w:rPr>
              <w:t>du régime et</w:t>
            </w:r>
            <w:r w:rsidRPr="00421CE3">
              <w:t>, le cas échéant, de présenter des propositions.</w:t>
            </w: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(https://eur-lex.europa.eu/legal-content/FR/TXT/?qid=1542966696656&amp;uri=CELEX%3A02013R1308-20180101)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La mise en place du régime d’autorisations de plantations de vigne en remplacement du régime des droits de plantation lors de la réforme de 2013 donne satisfaction. Il y a donc lieu de pérenniser le régime tout en maintenant l’obligation d’évaluation afin de contribuer à l’améliorer si besoin est. La date choisie pour l’évaluation est suffisamment en amont pour que les résultats de l’évaluation puissent être versés aux travaux préparatoires de la prochaine période.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290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4 – sous-point d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61</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(d bis)</w:t>
            </w:r>
            <w:r w:rsidRPr="00A53FF9">
              <w:rPr>
                <w:b/>
                <w:i/>
              </w:rPr>
              <w:tab/>
              <w:t>l'article 61 est modifié comme suit :</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Le régime d'autorisations de plantations de vigne établi au présent chapitre s'applique du 1er janvier 2016 au 31 décembre </w:t>
            </w:r>
            <w:r w:rsidRPr="00A53FF9">
              <w:rPr>
                <w:b/>
                <w:i/>
              </w:rPr>
              <w:t>2030</w:t>
            </w:r>
            <w:r w:rsidRPr="00A53FF9">
              <w:t xml:space="preserve">, la Commission devant procéder à un </w:t>
            </w:r>
            <w:r w:rsidRPr="00A53FF9">
              <w:rPr>
                <w:b/>
                <w:i/>
              </w:rPr>
              <w:t>réexamen à mi-parcours</w:t>
            </w:r>
            <w:r w:rsidRPr="00A53FF9">
              <w:t xml:space="preserve"> afin d'évaluer le fonctionnement du régime et, le cas échéant, de présenter des propositions.</w:t>
            </w:r>
          </w:p>
        </w:tc>
        <w:tc>
          <w:tcPr>
            <w:tcW w:w="4876" w:type="dxa"/>
            <w:hideMark/>
          </w:tcPr>
          <w:p w:rsidR="002F2A46" w:rsidRPr="00A53FF9" w:rsidRDefault="002F2A46" w:rsidP="003A3553">
            <w:pPr>
              <w:pStyle w:val="Normal6"/>
              <w:rPr>
                <w:szCs w:val="24"/>
              </w:rPr>
            </w:pPr>
            <w:r w:rsidRPr="00A53FF9">
              <w:t xml:space="preserve">«Le régime d'autorisations de plantations de vigne établi au présent chapitre s'applique du 1er janvier 2016 au 31 décembre </w:t>
            </w:r>
            <w:r w:rsidRPr="00A53FF9">
              <w:rPr>
                <w:b/>
                <w:i/>
              </w:rPr>
              <w:t>2050</w:t>
            </w:r>
            <w:r w:rsidRPr="00A53FF9">
              <w:t xml:space="preserve">, la Commission devant procéder à un </w:t>
            </w:r>
            <w:r w:rsidRPr="00A53FF9">
              <w:rPr>
                <w:b/>
                <w:i/>
              </w:rPr>
              <w:t>examen tous les dix ans et pour la première fois au 1er janvier 2023</w:t>
            </w:r>
            <w:r w:rsidRPr="00A53FF9">
              <w:t xml:space="preserve"> afin d'évaluer le fonctionnement du régime et, le cas échéant, de présenter des propositions.</w:t>
            </w:r>
            <w:r w:rsidR="00CD03D8" w:rsidRPr="00A53FF9">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(https://eur-lex.europa.eu/legal-content/EN/TXT/HTML/?uri=CELEX:02013R1308-20180101&amp;from=EN)</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pérenniser le régime d'autorisation de plantation afin d'apporter une sécurité juridique aux secteurs vitivinicoles tout en fixant une date de fin du système en application de la jurisprudence de l'Union. Il est également proposé un examen décennale du système qui sera fixé la première fois le 1er janvier 2023.</w:t>
      </w:r>
    </w:p>
    <w:p w:rsidR="002F2A46" w:rsidRPr="00A53FF9" w:rsidRDefault="002F2A46" w:rsidP="002F2A46">
      <w:r w:rsidRPr="00A53FF9">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291</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Gabriel Mato, Ramón Luis Valcárcel Siso,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4 – sous-point d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d bis)</w:t>
            </w:r>
            <w:r w:rsidRPr="00094D6B">
              <w:rPr>
                <w:b/>
                <w:i/>
              </w:rPr>
              <w:tab/>
              <w:t>l’article 61 est remplacé par le texte suivant :</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rPr>
                <w:b/>
                <w:i/>
              </w:rPr>
              <w:t>Article</w:t>
            </w:r>
            <w:r w:rsidRPr="00094D6B">
              <w:t> 61</w:t>
            </w:r>
          </w:p>
        </w:tc>
        <w:tc>
          <w:tcPr>
            <w:tcW w:w="4876" w:type="dxa"/>
            <w:hideMark/>
          </w:tcPr>
          <w:p w:rsidR="002F2A46" w:rsidRPr="00094D6B" w:rsidRDefault="002F2A46" w:rsidP="003A3553">
            <w:pPr>
              <w:pStyle w:val="Normal6"/>
              <w:rPr>
                <w:noProof/>
                <w:szCs w:val="24"/>
              </w:rPr>
            </w:pPr>
            <w:r w:rsidRPr="00094D6B">
              <w:rPr>
                <w:b/>
                <w:i/>
              </w:rPr>
              <w:t>«Article</w:t>
            </w:r>
            <w:r w:rsidRPr="00094D6B">
              <w:t> 61</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Durée</w:t>
            </w:r>
          </w:p>
        </w:tc>
        <w:tc>
          <w:tcPr>
            <w:tcW w:w="4876" w:type="dxa"/>
            <w:hideMark/>
          </w:tcPr>
          <w:p w:rsidR="002F2A46" w:rsidRPr="00094D6B" w:rsidRDefault="002F2A46" w:rsidP="003A3553">
            <w:pPr>
              <w:pStyle w:val="Normal6"/>
              <w:rPr>
                <w:noProof/>
                <w:szCs w:val="24"/>
              </w:rPr>
            </w:pPr>
            <w:r w:rsidRPr="00094D6B">
              <w:t>Durée</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Le régime d'autorisations de plantations de vigne établi au présent chapitre s'applique du 1</w:t>
            </w:r>
            <w:r w:rsidRPr="00094D6B">
              <w:rPr>
                <w:vertAlign w:val="superscript"/>
              </w:rPr>
              <w:t>er</w:t>
            </w:r>
            <w:r w:rsidRPr="00094D6B">
              <w:t xml:space="preserve"> janvier 2016 au 31 décembre </w:t>
            </w:r>
            <w:r w:rsidRPr="00094D6B">
              <w:rPr>
                <w:b/>
                <w:i/>
              </w:rPr>
              <w:t>2030</w:t>
            </w:r>
            <w:r w:rsidRPr="00094D6B">
              <w:t>, la Commission devant procéder à un réexamen à mi-parcours afin d'évaluer le fonctionnement du régime et, le cas échéant, de présenter des propositions.</w:t>
            </w:r>
          </w:p>
        </w:tc>
        <w:tc>
          <w:tcPr>
            <w:tcW w:w="4876" w:type="dxa"/>
            <w:hideMark/>
          </w:tcPr>
          <w:p w:rsidR="002F2A46" w:rsidRPr="00094D6B" w:rsidRDefault="002F2A46" w:rsidP="003A3553">
            <w:pPr>
              <w:pStyle w:val="Normal6"/>
              <w:rPr>
                <w:noProof/>
                <w:szCs w:val="24"/>
              </w:rPr>
            </w:pPr>
            <w:r w:rsidRPr="00094D6B">
              <w:t>Le régime d'autorisations de plantations de vigne établi au présent chapitre s'applique du 1</w:t>
            </w:r>
            <w:r w:rsidRPr="00094D6B">
              <w:rPr>
                <w:vertAlign w:val="superscript"/>
              </w:rPr>
              <w:t>er</w:t>
            </w:r>
            <w:r w:rsidRPr="00094D6B">
              <w:t xml:space="preserve"> janvier 2016 au 31 décembre </w:t>
            </w:r>
            <w:r w:rsidRPr="00094D6B">
              <w:rPr>
                <w:b/>
                <w:i/>
              </w:rPr>
              <w:t>2050</w:t>
            </w:r>
            <w:r w:rsidRPr="00094D6B">
              <w:t>, la Commission devant procéder à un réexamen à mi-parcours afin d'évaluer le fonctionnement du régime et, le cas échéant, de présenter des propositions.</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292</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4 – sous-point d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61</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(d bis)</w:t>
            </w:r>
            <w:r w:rsidRPr="00A53FF9">
              <w:rPr>
                <w:b/>
                <w:i/>
              </w:rPr>
              <w:tab/>
              <w:t>L'article 61 est remplacé par le texte suivant:</w:t>
            </w:r>
          </w:p>
        </w:tc>
      </w:tr>
      <w:tr w:rsidR="002F2A46" w:rsidRPr="00A53FF9" w:rsidTr="003A3553">
        <w:trPr>
          <w:jc w:val="center"/>
        </w:trPr>
        <w:tc>
          <w:tcPr>
            <w:tcW w:w="4876" w:type="dxa"/>
            <w:hideMark/>
          </w:tcPr>
          <w:p w:rsidR="002F2A46" w:rsidRPr="00A53FF9" w:rsidRDefault="002F2A46" w:rsidP="003A3553">
            <w:pPr>
              <w:pStyle w:val="Normal6"/>
            </w:pPr>
            <w:r w:rsidRPr="00A53FF9">
              <w:t xml:space="preserve">Le régime d'autorisations de plantations de vigne établi au présent chapitre s'applique du 1 er janvier 2016 au 31 décembre </w:t>
            </w:r>
            <w:r w:rsidRPr="00A53FF9">
              <w:rPr>
                <w:b/>
                <w:i/>
              </w:rPr>
              <w:t>2030</w:t>
            </w:r>
            <w:r w:rsidRPr="00A53FF9">
              <w:t>, la Commission devant procéder à un réexamen à mi-parcours afin d'évaluer le fonctionnement du régime et, le cas échéant, de présenter des propositions.</w:t>
            </w:r>
          </w:p>
        </w:tc>
        <w:tc>
          <w:tcPr>
            <w:tcW w:w="4876" w:type="dxa"/>
            <w:hideMark/>
          </w:tcPr>
          <w:p w:rsidR="002F2A46" w:rsidRPr="00A53FF9" w:rsidRDefault="002F2A46" w:rsidP="003A3553">
            <w:pPr>
              <w:pStyle w:val="Normal6"/>
              <w:rPr>
                <w:szCs w:val="24"/>
              </w:rPr>
            </w:pPr>
            <w:r w:rsidRPr="00A53FF9">
              <w:t xml:space="preserve">«Le régime d'autorisations de plantations de vigne établi au présent chapitre s'applique du 1 er janvier 2016 au 31 décembre </w:t>
            </w:r>
            <w:r w:rsidRPr="00A53FF9">
              <w:rPr>
                <w:b/>
                <w:i/>
              </w:rPr>
              <w:t>2050</w:t>
            </w:r>
            <w:r w:rsidRPr="00A53FF9">
              <w:t>, la Commission devant procéder à un réexamen à mi-parcours afin d'évaluer le fonctionnement du régime et, le cas échéant, de présenter des propositions.</w:t>
            </w:r>
            <w:r w:rsidR="00CD03D8" w:rsidRPr="00A53FF9">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plantations de vigne mis en oeuvre depuis 2016 est satisfaisant et répond aux attentes de la filière viti-vinicole. Néanmoins, la vigne étant une culture pérenne, il est nécessaire d’avoir une vision sur le long terme de l’application du système et de ses effets sur la stabilisation des marchés. En ce sens, une évaluation du fonctionnement du dispositif à l’horizon 2030 serait plus réaliste, ainsi qu’une date d’expiration en 2050, afin de mettre pleinement en oeuvre les conclusions et propositions de l’évaluation de mi-parcours.</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293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Sofia Ribeiro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Article 1 – alinéa 1 – point 4 – sous-point d bis (nouveau)</w:t>
      </w:r>
      <w:r>
        <w:rPr>
          <w:rStyle w:val="HideTWBExt"/>
          <w:b w:val="0"/>
        </w:rPr>
        <w:t>&lt;/Article&gt;</w:t>
      </w:r>
    </w:p>
    <w:p w:rsidR="002F2A46" w:rsidRPr="00A53FF9" w:rsidRDefault="002F2A46" w:rsidP="002F2A46">
      <w:pPr>
        <w:keepNext/>
        <w:rPr>
          <w:noProof/>
        </w:rPr>
      </w:pPr>
      <w:r>
        <w:rPr>
          <w:rStyle w:val="HideTWBExt"/>
        </w:rPr>
        <w:t>&lt;DocAmend2&gt;</w:t>
      </w:r>
      <w:r w:rsidRPr="005828C1">
        <w:t>Règlement (UE) n° 1308/2013</w:t>
      </w:r>
      <w:r>
        <w:rPr>
          <w:rStyle w:val="HideTWBExt"/>
        </w:rPr>
        <w:t>&lt;/DocAmend2&gt;</w:t>
      </w:r>
    </w:p>
    <w:p w:rsidR="002F2A46" w:rsidRPr="00A53FF9" w:rsidRDefault="002F2A46" w:rsidP="002F2A46">
      <w:pPr>
        <w:rPr>
          <w:noProof/>
        </w:rPr>
      </w:pPr>
      <w:r>
        <w:rPr>
          <w:rStyle w:val="HideTWBExt"/>
        </w:rPr>
        <w:t>&lt;Article2&gt;</w:t>
      </w:r>
      <w:r w:rsidRPr="005828C1">
        <w:t>Article 61 – alinéa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en vigueur</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(d bis)</w:t>
            </w:r>
            <w:r w:rsidRPr="005828C1">
              <w:rPr>
                <w:b/>
                <w:i/>
              </w:rPr>
              <w:tab/>
              <w:t>L’article 61 est modifié comme suit:</w:t>
            </w:r>
          </w:p>
        </w:tc>
      </w:tr>
      <w:tr w:rsidR="002F2A46" w:rsidRPr="00A53FF9" w:rsidTr="003A3553">
        <w:trPr>
          <w:jc w:val="center"/>
        </w:trPr>
        <w:tc>
          <w:tcPr>
            <w:tcW w:w="4876" w:type="dxa"/>
            <w:hideMark/>
          </w:tcPr>
          <w:p w:rsidR="002F2A46" w:rsidRPr="005828C1" w:rsidRDefault="002F2A46" w:rsidP="003A3553">
            <w:pPr>
              <w:pStyle w:val="Normal6"/>
              <w:rPr>
                <w:noProof/>
              </w:rPr>
            </w:pPr>
            <w:r w:rsidRPr="005828C1">
              <w:t xml:space="preserve">Le régime d'autorisations de plantations de vigne établi au présent chapitre </w:t>
            </w:r>
            <w:r w:rsidRPr="005828C1">
              <w:rPr>
                <w:b/>
                <w:i/>
              </w:rPr>
              <w:t>s'applique du 1</w:t>
            </w:r>
            <w:r w:rsidRPr="005828C1">
              <w:rPr>
                <w:b/>
                <w:i/>
                <w:vertAlign w:val="superscript"/>
              </w:rPr>
              <w:t>er</w:t>
            </w:r>
            <w:r w:rsidRPr="005828C1">
              <w:rPr>
                <w:b/>
                <w:i/>
              </w:rPr>
              <w:t> janvier 2016 au 31 décembre 2030,</w:t>
            </w:r>
            <w:r w:rsidRPr="005828C1">
              <w:t xml:space="preserve"> la Commission </w:t>
            </w:r>
            <w:r w:rsidRPr="005828C1">
              <w:rPr>
                <w:b/>
                <w:i/>
              </w:rPr>
              <w:t>devant procéder à un réexamen à mi-parcours afin d'évaluer</w:t>
            </w:r>
            <w:r w:rsidRPr="005828C1">
              <w:t xml:space="preserve"> le fonctionnement </w:t>
            </w:r>
            <w:r w:rsidRPr="005828C1">
              <w:rPr>
                <w:b/>
                <w:i/>
              </w:rPr>
              <w:t>du régime et,</w:t>
            </w:r>
            <w:r w:rsidRPr="005828C1">
              <w:t xml:space="preserve"> le cas échéant, de présenter des propositions.</w:t>
            </w:r>
          </w:p>
        </w:tc>
        <w:tc>
          <w:tcPr>
            <w:tcW w:w="4876" w:type="dxa"/>
            <w:hideMark/>
          </w:tcPr>
          <w:p w:rsidR="002F2A46" w:rsidRPr="005828C1" w:rsidRDefault="002F2A46" w:rsidP="003A3553">
            <w:pPr>
              <w:pStyle w:val="Normal6"/>
              <w:rPr>
                <w:noProof/>
                <w:szCs w:val="24"/>
              </w:rPr>
            </w:pPr>
            <w:r w:rsidRPr="005828C1">
              <w:t xml:space="preserve">Le régime d'autorisations de plantations de vigne établi au présent chapitre </w:t>
            </w:r>
            <w:r w:rsidRPr="005828C1">
              <w:rPr>
                <w:b/>
                <w:i/>
              </w:rPr>
              <w:t>fait l'objet par</w:t>
            </w:r>
            <w:r w:rsidRPr="005828C1">
              <w:t xml:space="preserve"> la Commission </w:t>
            </w:r>
            <w:r w:rsidRPr="005828C1">
              <w:rPr>
                <w:b/>
                <w:i/>
              </w:rPr>
              <w:t>d'un examen en 2023 afin d'en évaluer</w:t>
            </w:r>
            <w:r w:rsidRPr="005828C1">
              <w:t xml:space="preserve"> le fonctionnement </w:t>
            </w:r>
            <w:r w:rsidRPr="005828C1">
              <w:rPr>
                <w:b/>
                <w:i/>
              </w:rPr>
              <w:t>en vue</w:t>
            </w:r>
            <w:r w:rsidRPr="005828C1">
              <w:t xml:space="preserve"> le cas échéant, de présenter des propositions</w:t>
            </w:r>
            <w:r w:rsidRPr="005828C1">
              <w:rPr>
                <w:b/>
                <w:i/>
              </w:rPr>
              <w:t xml:space="preserve"> pour en améliorer l'efficacité</w:t>
            </w:r>
            <w:r w:rsidRPr="005828C1">
              <w: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 </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{PT}</w:t>
      </w:r>
      <w:r w:rsidRPr="00CD03D8">
        <w:rPr>
          <w:lang w:val="en-GB"/>
        </w:rPr>
        <w:t>pt</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294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paragraphe 1</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1.</w:t>
            </w:r>
            <w:r w:rsidRPr="00A53FF9">
              <w:tab/>
              <w:t>Chaque année, les États membres rendent disponibles des autorisations de nouvelles plantations correspondant à:</w:t>
            </w:r>
          </w:p>
        </w:tc>
        <w:tc>
          <w:tcPr>
            <w:tcW w:w="4876" w:type="dxa"/>
            <w:hideMark/>
          </w:tcPr>
          <w:p w:rsidR="002F2A46" w:rsidRPr="00A53FF9" w:rsidRDefault="002F2A46" w:rsidP="003A3553">
            <w:pPr>
              <w:pStyle w:val="Normal6"/>
              <w:rPr>
                <w:szCs w:val="24"/>
              </w:rPr>
            </w:pPr>
            <w:r w:rsidRPr="00A53FF9">
              <w:t>1.</w:t>
            </w:r>
            <w:r w:rsidRPr="00A53FF9">
              <w:tab/>
              <w:t xml:space="preserve">Chaque année, les États membres rendent disponibles des autorisations de nouvelles plantations </w:t>
            </w:r>
            <w:r w:rsidRPr="00A53FF9">
              <w:rPr>
                <w:b/>
                <w:i/>
              </w:rPr>
              <w:t>destinées à la vinification</w:t>
            </w:r>
            <w:r w:rsidRPr="00A53FF9">
              <w:t xml:space="preserve"> correspondant à:</w:t>
            </w: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(https://eur-lex.europa.eu/legal-content/FR/TXT/HTML/?uri=CELEX:02013R1308-20180101&amp;from=FR)</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 devrait être limité à la vinification afin d’exclure les vignes destinées à produire du jus de raisin, comme c’est déjà le cas des vignes destinées à produire du raisin de table. Ceci permettrait  de faire émerger un secteur de production de jus de raisin. Actuellement comme conséquence du régime des autorisations de plantations le jus de raisin est issu des surplus de la production vinicole trop sucrés et peu aromatiques pour constituer un produit attractif pour les consommateurs contrairement au jus de pomme, qui connaît une forte croissance.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295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1.</w:t>
            </w:r>
            <w:r w:rsidRPr="00421CE3">
              <w:tab/>
              <w:t>Chaque année, les États membres rendent disponibles des autorisations de nouvelles plantations correspondant à:</w:t>
            </w:r>
          </w:p>
        </w:tc>
        <w:tc>
          <w:tcPr>
            <w:tcW w:w="4876" w:type="dxa"/>
            <w:hideMark/>
          </w:tcPr>
          <w:p w:rsidR="002F2A46" w:rsidRPr="00421CE3" w:rsidRDefault="002F2A46" w:rsidP="003A3553">
            <w:pPr>
              <w:pStyle w:val="Normal6"/>
              <w:rPr>
                <w:noProof/>
                <w:szCs w:val="24"/>
              </w:rPr>
            </w:pPr>
            <w:r w:rsidRPr="00421CE3">
              <w:t>1.</w:t>
            </w:r>
            <w:r w:rsidRPr="00421CE3">
              <w:tab/>
              <w:t xml:space="preserve">Chaque année, les États membres rendent disponibles des autorisations de nouvelles plantations </w:t>
            </w:r>
            <w:r w:rsidRPr="00421CE3">
              <w:rPr>
                <w:b/>
                <w:i/>
              </w:rPr>
              <w:t xml:space="preserve">pour la production de vin </w:t>
            </w:r>
            <w:r w:rsidRPr="00421CE3">
              <w:t>correspondant à:</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296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paragraphe 1 – point a</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a)</w:t>
            </w:r>
            <w:r w:rsidRPr="00A53FF9">
              <w:tab/>
              <w:t>1 % de la superficie totale effectivement plantée en vigne sur leur territoire, telle que mesurée au 31 juillet de l’année précédente; ou</w:t>
            </w:r>
          </w:p>
        </w:tc>
        <w:tc>
          <w:tcPr>
            <w:tcW w:w="4876" w:type="dxa"/>
            <w:hideMark/>
          </w:tcPr>
          <w:p w:rsidR="002F2A46" w:rsidRPr="00A53FF9" w:rsidRDefault="002F2A46" w:rsidP="003A3553">
            <w:pPr>
              <w:pStyle w:val="Normal6"/>
              <w:rPr>
                <w:szCs w:val="24"/>
              </w:rPr>
            </w:pPr>
            <w:r w:rsidRPr="00A53FF9">
              <w:t>a)</w:t>
            </w:r>
            <w:r w:rsidRPr="00A53FF9">
              <w:tab/>
              <w:t xml:space="preserve">1 % de la superficie totale effectivement plantée en vigne </w:t>
            </w:r>
            <w:r w:rsidRPr="00A53FF9">
              <w:rPr>
                <w:b/>
                <w:i/>
              </w:rPr>
              <w:t>et destinée à la vinification</w:t>
            </w:r>
            <w:r w:rsidRPr="00A53FF9">
              <w:t xml:space="preserve"> sur leur territoire, telle que mesurée au 31 juillet de l’année précédente; ou</w:t>
            </w: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(https://eur-lex.europa.eu/legal-content/FR/TXT/HTML/?uri=CELEX:02013R1308-20180101&amp;from=FR)</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 devrait être limité à la vinification afin d’exclure les vignes destinées à produire du jus de raisin, comme c’est déjà le cas des vignes destinées à produire du raisin de table. Ceci permettrait  de faire émerger un secteur de production de jus de raisin. Actuellement comme conséquence du régime des autorisations de plantations le jus de raisin est issu des surplus de la production vinicole trop sucrés et peu aromatiques pour constituer un produit attractif pour les consommateurs contrairement au jus de pomme, qui connaît une forte croissance.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297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t>1 % de la superficie totale effectivement plantée en vigne sur leur territoire, telle que mesurée au 31 juillet de l’année précédente; ou</w:t>
            </w:r>
          </w:p>
        </w:tc>
        <w:tc>
          <w:tcPr>
            <w:tcW w:w="4876" w:type="dxa"/>
            <w:hideMark/>
          </w:tcPr>
          <w:p w:rsidR="002F2A46" w:rsidRPr="00421CE3" w:rsidRDefault="002F2A46" w:rsidP="003A3553">
            <w:pPr>
              <w:pStyle w:val="Normal6"/>
              <w:rPr>
                <w:noProof/>
                <w:szCs w:val="24"/>
              </w:rPr>
            </w:pPr>
            <w:r w:rsidRPr="00421CE3">
              <w:t>a)</w:t>
            </w:r>
            <w:r w:rsidRPr="00421CE3">
              <w:tab/>
              <w:t xml:space="preserve">1 % de la superficie totale effectivement plantée en vigne </w:t>
            </w:r>
            <w:r w:rsidRPr="00421CE3">
              <w:rPr>
                <w:b/>
                <w:i/>
              </w:rPr>
              <w:t xml:space="preserve">pour la production de vin </w:t>
            </w:r>
            <w:r w:rsidRPr="00421CE3">
              <w:t>sur leur territoire, telle que mesurée au 31 juillet de l’année précédente; ou</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298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Nikos Androulakis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r>
            <w:r w:rsidRPr="00421CE3">
              <w:rPr>
                <w:b/>
                <w:i/>
              </w:rPr>
              <w:t>1</w:t>
            </w:r>
            <w:r w:rsidRPr="00421CE3">
              <w:t> % de la superficie totale effectivement plantée en vigne sur leur territoire, telle que mesurée au 31 juillet de l’année précédente; ou</w:t>
            </w:r>
          </w:p>
        </w:tc>
        <w:tc>
          <w:tcPr>
            <w:tcW w:w="4876" w:type="dxa"/>
            <w:hideMark/>
          </w:tcPr>
          <w:p w:rsidR="002F2A46" w:rsidRPr="00421CE3" w:rsidRDefault="002F2A46" w:rsidP="003A3553">
            <w:pPr>
              <w:pStyle w:val="Normal6"/>
              <w:rPr>
                <w:noProof/>
                <w:szCs w:val="24"/>
              </w:rPr>
            </w:pPr>
            <w:r w:rsidRPr="00421CE3">
              <w:t>a)</w:t>
            </w:r>
            <w:r w:rsidRPr="00421CE3">
              <w:tab/>
            </w:r>
            <w:r w:rsidRPr="00421CE3">
              <w:rPr>
                <w:b/>
                <w:i/>
              </w:rPr>
              <w:t>2</w:t>
            </w:r>
            <w:r w:rsidRPr="00421CE3">
              <w:t> % de la superficie totale effectivement plantée en vigne sur leur territoire, telle que mesurée au 31 juillet de l’année précédente; ou</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299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Manolis Kefalogiannis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a)</w:t>
            </w:r>
            <w:r w:rsidRPr="00421CE3">
              <w:tab/>
            </w:r>
            <w:r w:rsidRPr="00421CE3">
              <w:rPr>
                <w:b/>
                <w:i/>
              </w:rPr>
              <w:t>1</w:t>
            </w:r>
            <w:r w:rsidRPr="00421CE3">
              <w:t> % de la superficie totale effectivement plantée en vigne sur leur territoire, telle que mesurée au 31 juillet de l’année précédente; ou</w:t>
            </w:r>
          </w:p>
        </w:tc>
        <w:tc>
          <w:tcPr>
            <w:tcW w:w="4876" w:type="dxa"/>
            <w:hideMark/>
          </w:tcPr>
          <w:p w:rsidR="002F2A46" w:rsidRPr="00421CE3" w:rsidRDefault="002F2A46" w:rsidP="003A3553">
            <w:pPr>
              <w:pStyle w:val="Normal6"/>
              <w:rPr>
                <w:noProof/>
                <w:szCs w:val="24"/>
              </w:rPr>
            </w:pPr>
            <w:r w:rsidRPr="00421CE3">
              <w:t>a)</w:t>
            </w:r>
            <w:r w:rsidRPr="00421CE3">
              <w:tab/>
            </w:r>
            <w:r w:rsidRPr="00421CE3">
              <w:rPr>
                <w:b/>
                <w:i/>
              </w:rPr>
              <w:t>2</w:t>
            </w:r>
            <w:r w:rsidRPr="00421CE3">
              <w:t> % de la superficie totale effectivement plantée en vigne sur leur territoire, telle que mesurée au 31 juillet de l’année précédente; ou</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i/>
              </w:rPr>
              <w:t>(Cette modification s’applique à l’ensemble du texte législatif à l’examen; son adoption impose des adaptations techniques dans tout le texte.)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Pour les États membres dont la superficie plantée en vigne est inférieure à 3 % de la superficie totale de l’Union, nous pouvons être en faveur d’une augmentation de 2 %. Par ailleurs, il convient que les surfaces abandonnées ou les surfaces non plantées sous le système de permis de plantation puissent être transférées dans une réserve nationale.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300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paragraphe 1 – point b</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hideMark/>
          </w:tcPr>
          <w:p w:rsidR="002F2A46" w:rsidRPr="00A53FF9" w:rsidRDefault="002F2A46" w:rsidP="003A3553">
            <w:pPr>
              <w:pStyle w:val="Normal6"/>
            </w:pPr>
            <w:r w:rsidRPr="00A53FF9">
              <w:t>b)</w:t>
            </w:r>
            <w:r w:rsidRPr="00A53FF9">
              <w:tab/>
              <w:t>1 %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A53FF9">
              <w:rPr>
                <w:vertAlign w:val="superscript"/>
              </w:rPr>
              <w:t>er</w:t>
            </w:r>
            <w:r w:rsidRPr="00A53FF9">
              <w:t xml:space="preserve"> janvier 2016, tels que visés à l’article 68 du présent règlement.;</w:t>
            </w:r>
          </w:p>
        </w:tc>
        <w:tc>
          <w:tcPr>
            <w:tcW w:w="4876" w:type="dxa"/>
            <w:hideMark/>
          </w:tcPr>
          <w:p w:rsidR="002F2A46" w:rsidRPr="00A53FF9" w:rsidRDefault="002F2A46" w:rsidP="003A3553">
            <w:pPr>
              <w:pStyle w:val="Normal6"/>
              <w:rPr>
                <w:szCs w:val="24"/>
              </w:rPr>
            </w:pPr>
            <w:r w:rsidRPr="00A53FF9">
              <w:t>b)</w:t>
            </w:r>
            <w:r w:rsidRPr="00A53FF9">
              <w:tab/>
              <w:t xml:space="preserve">1 % d'une superficie comprenant la superficie effectivement plantée en vigne </w:t>
            </w:r>
            <w:r w:rsidRPr="00A53FF9">
              <w:rPr>
                <w:b/>
                <w:i/>
              </w:rPr>
              <w:t>et destinée à la vinification</w:t>
            </w:r>
            <w:r w:rsidRPr="00A53FF9">
              <w:t xml:space="preserv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A53FF9">
              <w:rPr>
                <w:vertAlign w:val="superscript"/>
              </w:rPr>
              <w:t>er</w:t>
            </w:r>
            <w:r w:rsidRPr="00A53FF9">
              <w:t xml:space="preserve"> janvier 2016, tels que visés à l’article 68 du présent règlement.;</w:t>
            </w:r>
          </w:p>
        </w:tc>
      </w:tr>
    </w:tbl>
    <w:p w:rsidR="002F2A46" w:rsidRPr="00CD03D8" w:rsidRDefault="002F2A46" w:rsidP="002F2A46">
      <w:pPr>
        <w:pStyle w:val="Olang"/>
        <w:rPr>
          <w:noProof w:val="0"/>
          <w:szCs w:val="24"/>
          <w:lang w:val="en-GB"/>
        </w:rPr>
      </w:pPr>
      <w:r w:rsidRPr="00CD03D8">
        <w:rPr>
          <w:noProof w:val="0"/>
          <w:lang w:val="en-GB"/>
        </w:rPr>
        <w:t xml:space="preserve">Or. </w:t>
      </w:r>
      <w:r w:rsidRPr="00CD03D8">
        <w:rPr>
          <w:rStyle w:val="HideTWBExt"/>
          <w:noProof w:val="0"/>
          <w:lang w:val="en-GB"/>
        </w:rPr>
        <w:t>&lt;Original&gt;</w:t>
      </w:r>
      <w:r w:rsidRPr="00CD03D8">
        <w:rPr>
          <w:rStyle w:val="HideTWBInt"/>
          <w:noProof w:val="0"/>
          <w:lang w:val="en-GB"/>
        </w:rPr>
        <w:t>{FR}</w:t>
      </w:r>
      <w:r w:rsidRPr="00CD03D8">
        <w:rPr>
          <w:noProof w:val="0"/>
          <w:lang w:val="en-GB"/>
        </w:rPr>
        <w:t>fr</w:t>
      </w:r>
      <w:r w:rsidRPr="00CD03D8">
        <w:rPr>
          <w:rStyle w:val="HideTWBExt"/>
          <w:noProof w:val="0"/>
          <w:lang w:val="en-GB"/>
        </w:rPr>
        <w:t>&lt;/Original&gt;</w:t>
      </w:r>
    </w:p>
    <w:p w:rsidR="002F2A46" w:rsidRPr="00CD03D8" w:rsidRDefault="002F2A46" w:rsidP="002F2A46">
      <w:pPr>
        <w:pStyle w:val="CrossRef"/>
        <w:rPr>
          <w:lang w:val="en-GB"/>
        </w:rPr>
      </w:pPr>
      <w:r w:rsidRPr="00CD03D8">
        <w:rPr>
          <w:lang w:val="en-GB"/>
        </w:rPr>
        <w:t>(https://eur-lex.europa.eu/legal-content/EN/TXT/HTML/?uri=CELEX:02013R1308-20180101&amp;from=FR)</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 devrait être limité à la vinification afin d’exclure les vignes destinées à produire du jus de raisin, comme c’est déjà le cas des vignes destinées à produire du raisin de table. Ceci permettrait  de faire émerger un secteur de production de jus de raisin. Actuellement comme conséquence du régime des autorisations de plantations le jus de raisin est issu des surplus de la production vinicole trop sucrés et peu aromatiques pour constituer un produit attractif pour les consommateurs contrairement au jus de pomme, qui connaît une forte croissance.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301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t>1 %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c>
          <w:tcPr>
            <w:tcW w:w="4876" w:type="dxa"/>
            <w:hideMark/>
          </w:tcPr>
          <w:p w:rsidR="002F2A46" w:rsidRPr="00421CE3" w:rsidRDefault="002F2A46" w:rsidP="003A3553">
            <w:pPr>
              <w:pStyle w:val="Normal6"/>
              <w:rPr>
                <w:noProof/>
                <w:szCs w:val="24"/>
              </w:rPr>
            </w:pPr>
            <w:r w:rsidRPr="00421CE3">
              <w:t>b)</w:t>
            </w:r>
            <w:r w:rsidRPr="00421CE3">
              <w:tab/>
              <w:t xml:space="preserve">1 % d'une superficie comprenant la superficie effectivement plantée en vigne </w:t>
            </w:r>
            <w:r w:rsidRPr="00421CE3">
              <w:rPr>
                <w:b/>
                <w:i/>
              </w:rPr>
              <w:t xml:space="preserve">pour la production de vin </w:t>
            </w:r>
            <w:r w:rsidRPr="00421CE3">
              <w:t>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302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Manolis Kefalogiannis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r>
            <w:r w:rsidRPr="00421CE3">
              <w:rPr>
                <w:b/>
                <w:i/>
              </w:rPr>
              <w:t>1</w:t>
            </w:r>
            <w:r w:rsidRPr="00421CE3">
              <w:t>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c>
          <w:tcPr>
            <w:tcW w:w="4876" w:type="dxa"/>
            <w:hideMark/>
          </w:tcPr>
          <w:p w:rsidR="002F2A46" w:rsidRPr="00421CE3" w:rsidRDefault="002F2A46" w:rsidP="003A3553">
            <w:pPr>
              <w:pStyle w:val="Normal6"/>
              <w:rPr>
                <w:noProof/>
                <w:szCs w:val="24"/>
              </w:rPr>
            </w:pPr>
            <w:r w:rsidRPr="00421CE3">
              <w:t>b)</w:t>
            </w:r>
            <w:r w:rsidRPr="00421CE3">
              <w:tab/>
            </w:r>
            <w:r w:rsidRPr="00421CE3">
              <w:rPr>
                <w:b/>
                <w:i/>
              </w:rPr>
              <w:t>2</w:t>
            </w:r>
            <w:r w:rsidRPr="00421CE3">
              <w:t>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i/>
              </w:rPr>
              <w:t>(Cette modification s’applique à l’ensemble du texte législatif à l’examen; son adoption impose des adaptations techniques dans tout le texte.)</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Pour les États membres dont la superficie plantée en vigne est inférieure à 3 % de la superficie totale de l’Union, nous pouvons être en faveur d’une augmentation de 2 %. Par ailleurs, il convient que les surfaces abandonnées ou les surfaces non plantées sous le système de permis de plantation puissent être transférées dans une réserve nationale.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303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Nikos Androulakis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w:t>
            </w:r>
            <w:r w:rsidRPr="00421CE3">
              <w:tab/>
            </w:r>
            <w:r w:rsidRPr="00421CE3">
              <w:rPr>
                <w:b/>
                <w:i/>
              </w:rPr>
              <w:t>1</w:t>
            </w:r>
            <w:r w:rsidRPr="00421CE3">
              <w:t>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c>
          <w:tcPr>
            <w:tcW w:w="4876" w:type="dxa"/>
            <w:hideMark/>
          </w:tcPr>
          <w:p w:rsidR="002F2A46" w:rsidRPr="00421CE3" w:rsidRDefault="002F2A46" w:rsidP="003A3553">
            <w:pPr>
              <w:pStyle w:val="Normal6"/>
              <w:rPr>
                <w:noProof/>
                <w:szCs w:val="24"/>
              </w:rPr>
            </w:pPr>
            <w:r w:rsidRPr="00421CE3">
              <w:t>b)</w:t>
            </w:r>
            <w:r w:rsidRPr="00421CE3">
              <w:tab/>
            </w:r>
            <w:r w:rsidRPr="00421CE3">
              <w:rPr>
                <w:b/>
                <w:i/>
              </w:rPr>
              <w:t>2</w:t>
            </w:r>
            <w:r w:rsidRPr="00421CE3">
              <w:t> % d'une superficie comprenant la superficie effectivement plantée en vigne sur leur territoire, telle que mesurée au 31 juillet de l’année précédente, et la superficie couverte par les droits de plantation octroyés à des producteurs établis sur leur territoire, conformément à l’article 85 nonies, à l’article 85 decies ou à l’article 85 duodecies du règlement (CE) nº 1234/2007 et disponibles pour la conversion en autorisations le 1</w:t>
            </w:r>
            <w:r w:rsidRPr="00421CE3">
              <w:rPr>
                <w:vertAlign w:val="superscript"/>
              </w:rPr>
              <w:t>er</w:t>
            </w:r>
            <w:r w:rsidRPr="00421CE3">
              <w:t> janvier 2016, tels que visés à l’article 68 du présent règlement.</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304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Nikos Androulakis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1 – point b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b bis)</w:t>
            </w:r>
            <w:r w:rsidRPr="00421CE3">
              <w:rPr>
                <w:b/>
                <w:i/>
              </w:rPr>
              <w:tab/>
              <w:t>dans les États membres où la superficie effectivement plantée en vigne est inférieure à 5 % de la superficie totale plantée en vigne de l’Union, il convient que les zones qui ont reçu une autorisation de plantation non utilisée en fin de compte soient transférées dans une réserve nationale et soient disponibles au-delà des limites visées aux points a) et b).</w:t>
            </w:r>
            <w:r w:rsidRPr="00421CE3">
              <w:t xml:space="preserve"> </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305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Miguel Viegas</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5828C1">
        <w:t>Règlement (UE) n° 1308/2013</w:t>
      </w:r>
      <w:r>
        <w:rPr>
          <w:rStyle w:val="HideTWBExt"/>
        </w:rPr>
        <w:t>&lt;/DocAmend2&gt;</w:t>
      </w:r>
    </w:p>
    <w:p w:rsidR="002F2A46" w:rsidRPr="00A53FF9" w:rsidRDefault="002F2A46" w:rsidP="002F2A46">
      <w:pPr>
        <w:rPr>
          <w:noProof/>
        </w:rPr>
      </w:pPr>
      <w:r>
        <w:rPr>
          <w:rStyle w:val="HideTWBExt"/>
        </w:rPr>
        <w:t>&lt;Article2&gt;</w:t>
      </w:r>
      <w:r w:rsidRPr="005828C1">
        <w:t>Article 63 – paragraphe 1 – point b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b bis)</w:t>
            </w:r>
            <w:r w:rsidRPr="005828C1">
              <w:rPr>
                <w:b/>
                <w:i/>
              </w:rPr>
              <w:tab/>
              <w:t>Chaque année est réalisée une évaluation du marché afin de réguler l’offre et d’éviter la disparition de productions à plus petite échelle qui constituent néanmoins un patrimoine historique, culturel, social et économique précieux en Europe.</w:t>
            </w:r>
          </w:p>
        </w:tc>
      </w:tr>
    </w:tbl>
    <w:p w:rsidR="002F2A46" w:rsidRPr="00990897" w:rsidRDefault="002F2A46" w:rsidP="002F2A46">
      <w:pPr>
        <w:pStyle w:val="Olang"/>
        <w:rPr>
          <w:szCs w:val="24"/>
          <w:lang w:val="en-GB"/>
        </w:rPr>
      </w:pPr>
      <w:r w:rsidRPr="00990897">
        <w:rPr>
          <w:lang w:val="en-GB"/>
        </w:rPr>
        <w:t xml:space="preserve">Or. </w:t>
      </w:r>
      <w:r w:rsidRPr="00990897">
        <w:rPr>
          <w:rStyle w:val="HideTWBExt"/>
          <w:lang w:val="en-GB"/>
        </w:rPr>
        <w:t>&lt;Original&gt;</w:t>
      </w:r>
      <w:r w:rsidRPr="00990897">
        <w:rPr>
          <w:rStyle w:val="HideTWBInt"/>
          <w:lang w:val="en-GB"/>
        </w:rPr>
        <w:t>{PT}</w:t>
      </w:r>
      <w:r w:rsidRPr="00990897">
        <w:rPr>
          <w:lang w:val="en-GB"/>
        </w:rPr>
        <w:t>pt</w:t>
      </w:r>
      <w:r w:rsidRPr="00990897">
        <w:rPr>
          <w:rStyle w:val="HideTWBExt"/>
          <w:lang w:val="en-GB"/>
        </w:rPr>
        <w:t>&lt;/Original&gt;</w:t>
      </w:r>
    </w:p>
    <w:p w:rsidR="002F2A46" w:rsidRPr="00990897" w:rsidRDefault="002F2A46" w:rsidP="002F2A46">
      <w:pPr>
        <w:pStyle w:val="CrossRef"/>
        <w:rPr>
          <w:noProof/>
          <w:lang w:val="en-GB"/>
        </w:rPr>
      </w:pPr>
      <w:r w:rsidRPr="00990897">
        <w:rPr>
          <w:lang w:val="en-GB"/>
        </w:rPr>
        <w:t>(https://eur-lex.europa.eu/legal-content/FR/TXT/HTML/?uri=CELEX:02013R1308-20180101&amp;from=FR)</w:t>
      </w:r>
    </w:p>
    <w:p w:rsidR="002F2A46" w:rsidRPr="00990897" w:rsidRDefault="002F2A46" w:rsidP="002F2A46">
      <w:pPr>
        <w:rPr>
          <w:noProof/>
          <w:lang w:val="en-GB"/>
        </w:rPr>
      </w:pPr>
      <w:r w:rsidRPr="00990897">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306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Herbert Dorfmann</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4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b/>
              <w:t>4 bis. Les États membres peuvent créer des réserves nationales d’autorisations de plantations. Les autorisations suivantes peuvent être attribuées aux réserves nationales:</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a) les droits de plantation pour lesquels il n’a pas été déposé de demande de conversion par un producteur au 31 décembre 2020;</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b) les autorisations de nouvelles plantations non utilisées;</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c) les autorisations de replantations non utilisées.</w:t>
            </w:r>
          </w:p>
        </w:tc>
      </w:tr>
    </w:tbl>
    <w:p w:rsidR="002F2A46" w:rsidRPr="0011491A" w:rsidRDefault="002F2A46" w:rsidP="002F2A46">
      <w:pPr>
        <w:pStyle w:val="Olang"/>
        <w:rPr>
          <w:szCs w:val="24"/>
          <w:lang w:val="en-GB"/>
        </w:rPr>
      </w:pPr>
      <w:r w:rsidRPr="0011491A">
        <w:rPr>
          <w:lang w:val="en-GB"/>
        </w:rPr>
        <w:t xml:space="preserve">Or. </w:t>
      </w:r>
      <w:r w:rsidRPr="0011491A">
        <w:rPr>
          <w:rStyle w:val="HideTWBExt"/>
          <w:lang w:val="en-GB"/>
        </w:rPr>
        <w:t>&lt;Original&gt;</w:t>
      </w:r>
      <w:r w:rsidRPr="0011491A">
        <w:rPr>
          <w:rStyle w:val="HideTWBInt"/>
          <w:lang w:val="en-GB"/>
        </w:rPr>
        <w:t>{EN}</w:t>
      </w:r>
      <w:r w:rsidRPr="0011491A">
        <w:rPr>
          <w:lang w:val="en-GB"/>
        </w:rPr>
        <w:t>en</w:t>
      </w:r>
      <w:r w:rsidRPr="0011491A">
        <w:rPr>
          <w:rStyle w:val="HideTWBExt"/>
          <w:lang w:val="en-GB"/>
        </w:rPr>
        <w:t>&lt;/Original&gt;</w:t>
      </w:r>
    </w:p>
    <w:p w:rsidR="002F2A46" w:rsidRPr="0011491A" w:rsidRDefault="002F2A46" w:rsidP="002F2A46">
      <w:pPr>
        <w:pStyle w:val="CrossRef"/>
        <w:rPr>
          <w:noProof/>
          <w:lang w:val="en-GB"/>
        </w:rPr>
      </w:pPr>
      <w:r w:rsidRPr="0011491A">
        <w:rPr>
          <w:lang w:val="en-GB"/>
        </w:rPr>
        <w:t>(https://eur-lex.europa.eu/legal-content/FR/TXT/HTML/?uri=CELEX:02013R1308-20180101&amp;from=FR)</w:t>
      </w:r>
    </w:p>
    <w:p w:rsidR="002F2A46" w:rsidRPr="0011491A" w:rsidRDefault="002F2A46" w:rsidP="002F2A46">
      <w:pPr>
        <w:rPr>
          <w:noProof/>
          <w:lang w:val="en-GB"/>
        </w:rPr>
      </w:pPr>
      <w:r w:rsidRPr="0011491A">
        <w:rPr>
          <w:rStyle w:val="HideTWBExt"/>
          <w:lang w:val="en-GB"/>
        </w:rPr>
        <w:t>&lt;/Amend&gt;</w:t>
      </w:r>
    </w:p>
    <w:p w:rsidR="002F2A46" w:rsidRPr="002F612D" w:rsidRDefault="002F2A46" w:rsidP="002F2A46">
      <w:pPr>
        <w:pStyle w:val="AMNumberTabs"/>
        <w:keepNext/>
        <w:rPr>
          <w:noProof/>
        </w:rPr>
      </w:pPr>
      <w:r w:rsidRPr="002F612D">
        <w:rPr>
          <w:rStyle w:val="HideTWBExt"/>
          <w:b w:val="0"/>
        </w:rPr>
        <w:t>&lt;Amend&gt;</w:t>
      </w:r>
      <w:r w:rsidRPr="002F612D">
        <w:t>Amendement</w:t>
      </w:r>
      <w:r w:rsidRPr="002F612D">
        <w:tab/>
      </w:r>
      <w:r w:rsidRPr="002F612D">
        <w:tab/>
      </w:r>
      <w:r w:rsidRPr="002F612D">
        <w:rPr>
          <w:rStyle w:val="HideTWBExt"/>
          <w:b w:val="0"/>
        </w:rPr>
        <w:t>&lt;NumAm&gt;</w:t>
      </w:r>
      <w:r w:rsidRPr="002F612D">
        <w:t>307</w:t>
      </w:r>
      <w:r w:rsidRPr="002F612D">
        <w:rPr>
          <w:rStyle w:val="HideTWBExt"/>
          <w:b w:val="0"/>
        </w:rPr>
        <w:t>&lt;/NumAm&gt;</w:t>
      </w:r>
    </w:p>
    <w:p w:rsidR="002F2A46" w:rsidRPr="002F612D" w:rsidRDefault="002F2A46" w:rsidP="002F2A46">
      <w:pPr>
        <w:pStyle w:val="NormalBold"/>
        <w:rPr>
          <w:noProof/>
        </w:rPr>
      </w:pPr>
      <w:r w:rsidRPr="002F612D">
        <w:rPr>
          <w:rStyle w:val="HideTWBExt"/>
          <w:b w:val="0"/>
        </w:rPr>
        <w:t>&lt;RepeatBlock-By&gt;&lt;Members&gt;</w:t>
      </w:r>
      <w:r w:rsidRPr="002F612D">
        <w:t>Nicola Caputo</w:t>
      </w:r>
      <w:r w:rsidRPr="002F612D">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C13602">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C13602">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C13602">
        <w:t>Règlement (UE) n° 1308/2013</w:t>
      </w:r>
      <w:r>
        <w:rPr>
          <w:rStyle w:val="HideTWBExt"/>
        </w:rPr>
        <w:t>&lt;/DocAmend2&gt;</w:t>
      </w:r>
    </w:p>
    <w:p w:rsidR="002F2A46" w:rsidRPr="00A53FF9" w:rsidRDefault="002F2A46" w:rsidP="002F2A46">
      <w:pPr>
        <w:rPr>
          <w:noProof/>
        </w:rPr>
      </w:pPr>
      <w:r>
        <w:rPr>
          <w:rStyle w:val="HideTWBExt"/>
        </w:rPr>
        <w:t>&lt;Article2&gt;</w:t>
      </w:r>
      <w:r w:rsidRPr="00C13602">
        <w:t>Article 63 – paragraphe 2 – point b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C13602" w:rsidRDefault="002F2A46" w:rsidP="003A3553">
            <w:pPr>
              <w:pStyle w:val="ColumnHeading"/>
              <w:keepNext/>
              <w:rPr>
                <w:noProof/>
              </w:rPr>
            </w:pPr>
            <w:r w:rsidRPr="00C13602">
              <w:t>Texte proposé par la Commission</w:t>
            </w:r>
          </w:p>
        </w:tc>
        <w:tc>
          <w:tcPr>
            <w:tcW w:w="4876" w:type="dxa"/>
            <w:hideMark/>
          </w:tcPr>
          <w:p w:rsidR="002F2A46" w:rsidRPr="00C13602" w:rsidRDefault="002F2A46" w:rsidP="003A3553">
            <w:pPr>
              <w:pStyle w:val="ColumnHeading"/>
              <w:keepNext/>
              <w:rPr>
                <w:noProof/>
              </w:rPr>
            </w:pPr>
            <w:r w:rsidRPr="00C13602">
              <w:t>Amendement</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1 bis.</w:t>
            </w:r>
            <w:r w:rsidRPr="00C13602">
              <w:rPr>
                <w:b/>
                <w:i/>
              </w:rPr>
              <w:tab/>
              <w:t>à l’article 63, paragraphe 2, un nouveau point est ajouté:</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«b bis) rendre disponibles des autorisations de nouvelles plantations tous les 3 ans correspondant au maximum à la somme des augmentations annuelles de la superficie totale calculées conformément au point a) ou b).»;</w:t>
            </w:r>
          </w:p>
        </w:tc>
      </w:tr>
    </w:tbl>
    <w:p w:rsidR="002F2A46" w:rsidRPr="002F612D" w:rsidRDefault="002F2A46" w:rsidP="002F2A46">
      <w:pPr>
        <w:pStyle w:val="Olang"/>
        <w:rPr>
          <w:szCs w:val="24"/>
          <w:lang w:val="en-GB"/>
        </w:rPr>
      </w:pPr>
      <w:r w:rsidRPr="002F612D">
        <w:rPr>
          <w:lang w:val="en-GB"/>
        </w:rPr>
        <w:t xml:space="preserve">Or. </w:t>
      </w:r>
      <w:r w:rsidRPr="002F612D">
        <w:rPr>
          <w:rStyle w:val="HideTWBExt"/>
          <w:lang w:val="en-GB"/>
        </w:rPr>
        <w:t>&lt;Original&gt;</w:t>
      </w:r>
      <w:r w:rsidRPr="002F612D">
        <w:rPr>
          <w:rStyle w:val="HideTWBInt"/>
          <w:lang w:val="en-GB"/>
        </w:rPr>
        <w:t>{XM}</w:t>
      </w:r>
      <w:r w:rsidRPr="002F612D">
        <w:rPr>
          <w:lang w:val="en-GB"/>
        </w:rPr>
        <w:t>xm</w:t>
      </w:r>
      <w:r w:rsidRPr="002F612D">
        <w:rPr>
          <w:rStyle w:val="HideTWBExt"/>
          <w:lang w:val="en-GB"/>
        </w:rPr>
        <w:t>&lt;/Original&gt;</w:t>
      </w:r>
    </w:p>
    <w:p w:rsidR="002F2A46" w:rsidRPr="002F612D" w:rsidRDefault="002F2A46" w:rsidP="002F2A46">
      <w:pPr>
        <w:pStyle w:val="CrossRef"/>
        <w:rPr>
          <w:noProof/>
          <w:lang w:val="en-GB"/>
        </w:rPr>
      </w:pPr>
      <w:r w:rsidRPr="002F612D">
        <w:rPr>
          <w:lang w:val="en-GB"/>
        </w:rPr>
        <w:t>(https://eur-lex.europa.eu/legal-content/FR/TXT/HTML/?uri=CELEX:02013R1308-20180101&amp;from=FR)</w:t>
      </w:r>
    </w:p>
    <w:p w:rsidR="002F2A46" w:rsidRPr="002F2A46" w:rsidRDefault="002F2A46" w:rsidP="002F2A46">
      <w:pPr>
        <w:pStyle w:val="JustificationTitle"/>
      </w:pPr>
      <w:r w:rsidRPr="002F2A46">
        <w:rPr>
          <w:rStyle w:val="HideTWBExt"/>
          <w:i w:val="0"/>
        </w:rPr>
        <w:t>&lt;TitreJust&gt;</w:t>
      </w:r>
      <w:r w:rsidRPr="002F2A46">
        <w:t>Justification</w:t>
      </w:r>
      <w:r w:rsidRPr="002F2A46">
        <w:rPr>
          <w:rStyle w:val="HideTWBExt"/>
          <w:i w:val="0"/>
        </w:rPr>
        <w:t>&lt;/TitreJust&gt;</w:t>
      </w:r>
    </w:p>
    <w:p w:rsidR="002F2A46" w:rsidRPr="00E82583" w:rsidRDefault="002F2A46" w:rsidP="002F2A46">
      <w:pPr>
        <w:pStyle w:val="Normal12Italic"/>
        <w:rPr>
          <w:noProof w:val="0"/>
        </w:rPr>
      </w:pPr>
      <w:r w:rsidRPr="00E82583">
        <w:rPr>
          <w:noProof w:val="0"/>
        </w:rPr>
        <w:t>En ce qui concerne la croissance annuelle maximale de 1 %, il est proposé d’introduire un système pluriannuel d'octroi d’autorisations de nouvelles plantations afin de garantir aux producteurs un total plus élevé de nouvelles superficies. Cela permettra aux entreprises de mieux gérer les opérations liées aux plantations et de réduire les coûts afférents.</w:t>
      </w:r>
    </w:p>
    <w:p w:rsidR="002F2A46" w:rsidRPr="002B2128" w:rsidRDefault="002F2A46" w:rsidP="002F2A46">
      <w:pPr>
        <w:rPr>
          <w:noProof/>
        </w:rPr>
      </w:pPr>
      <w:r w:rsidRPr="002B2128">
        <w:rPr>
          <w:rStyle w:val="HideTWBExt"/>
        </w:rPr>
        <w:t>&lt;/Amend&gt;</w:t>
      </w:r>
    </w:p>
    <w:p w:rsidR="002F2A46" w:rsidRPr="00A53FF9" w:rsidRDefault="002F2A46" w:rsidP="002F2A46">
      <w:pPr>
        <w:pStyle w:val="AMNumberTabs"/>
        <w:keepNext/>
        <w:rPr>
          <w:noProof/>
        </w:rPr>
      </w:pPr>
      <w:r>
        <w:rPr>
          <w:rStyle w:val="HideTWBExt"/>
          <w:b w:val="0"/>
        </w:rPr>
        <w:t>&lt;Amend&gt;</w:t>
      </w:r>
      <w:r w:rsidRPr="000A2FD1">
        <w:t>Amendement</w:t>
      </w:r>
      <w:r w:rsidRPr="000A2FD1">
        <w:tab/>
      </w:r>
      <w:r w:rsidRPr="000A2FD1">
        <w:tab/>
      </w:r>
      <w:r>
        <w:rPr>
          <w:rStyle w:val="HideTWBExt"/>
          <w:b w:val="0"/>
        </w:rPr>
        <w:t>&lt;NumAm&gt;</w:t>
      </w:r>
      <w:r w:rsidRPr="000A2FD1">
        <w:t>308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A2FD1">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63 – paragraphe 1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1 bis.</w:t>
            </w:r>
            <w:r w:rsidRPr="000A2FD1">
              <w:rPr>
                <w:b/>
                <w:i/>
              </w:rPr>
              <w:tab/>
              <w:t>Les États membres peuvent rendre disponibles des autorisations de nouvelles plantations tous les deux ou trois ans, dans les limites d’une augmentation de la superficie plantée en vigne correspondant à la somme de l’augmentation annuelle de la superficie plantée en vigne conformément au point a) ou b) du présent paragraphe.</w:t>
            </w: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rPr>
          <w:noProof/>
        </w:rPr>
      </w:pPr>
      <w:r>
        <w:rPr>
          <w:rStyle w:val="HideTWBExt"/>
        </w:rPr>
        <w:t>&lt;/Amend&gt;</w:t>
      </w:r>
    </w:p>
    <w:p w:rsidR="002F2A46" w:rsidRPr="002F2A46" w:rsidRDefault="002F2A46" w:rsidP="002F2A46">
      <w:pPr>
        <w:pStyle w:val="AMNumberTabs"/>
        <w:keepNext/>
        <w:rPr>
          <w:noProof/>
        </w:rPr>
      </w:pPr>
      <w:r w:rsidRPr="002F2A46">
        <w:rPr>
          <w:rStyle w:val="HideTWBExt"/>
          <w:b w:val="0"/>
        </w:rPr>
        <w:t>&lt;Amend&gt;</w:t>
      </w:r>
      <w:r w:rsidRPr="002F2A46">
        <w:t>Amendement</w:t>
      </w:r>
      <w:r w:rsidRPr="002F2A46">
        <w:tab/>
      </w:r>
      <w:r w:rsidRPr="002F2A46">
        <w:tab/>
      </w:r>
      <w:r w:rsidRPr="002F2A46">
        <w:rPr>
          <w:rStyle w:val="HideTWBExt"/>
          <w:b w:val="0"/>
        </w:rPr>
        <w:t>&lt;NumAm&gt;</w:t>
      </w:r>
      <w:r w:rsidRPr="002F2A46">
        <w:t>309</w:t>
      </w:r>
      <w:r w:rsidRPr="002F2A46">
        <w:rPr>
          <w:rStyle w:val="HideTWBExt"/>
          <w:b w:val="0"/>
        </w:rPr>
        <w:t>&lt;/NumAm&gt;</w:t>
      </w:r>
    </w:p>
    <w:p w:rsidR="002F2A46" w:rsidRPr="002F2A46" w:rsidRDefault="002F2A46" w:rsidP="002F2A46">
      <w:pPr>
        <w:pStyle w:val="NormalBold"/>
        <w:rPr>
          <w:noProof/>
        </w:rPr>
      </w:pPr>
      <w:r w:rsidRPr="002F2A46">
        <w:rPr>
          <w:rStyle w:val="HideTWBExt"/>
          <w:b w:val="0"/>
        </w:rPr>
        <w:t>&lt;RepeatBlock-By&gt;&lt;Members&gt;</w:t>
      </w:r>
      <w:r w:rsidRPr="002F2A46">
        <w:t>Esther Herranz García, Gabriel Mato, Ramón Luis Valcárcel Siso, Esteban González Pons</w:t>
      </w:r>
      <w:r w:rsidRPr="002F2A46">
        <w:rPr>
          <w:rStyle w:val="HideTWBExt"/>
          <w:b w:val="0"/>
        </w:rPr>
        <w:t>&lt;/Members&gt;</w:t>
      </w:r>
    </w:p>
    <w:p w:rsidR="002F2A46" w:rsidRPr="002F2A46" w:rsidRDefault="002F2A46" w:rsidP="002F2A46">
      <w:pPr>
        <w:rPr>
          <w:noProof/>
        </w:rPr>
      </w:pPr>
      <w:r w:rsidRPr="002F2A46">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5 – alinéa 2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63 – paragraphe 1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 xml:space="preserve"> </w:t>
            </w:r>
            <w:r w:rsidRPr="00094D6B">
              <w:rPr>
                <w:b/>
                <w:i/>
              </w:rPr>
              <w:tab/>
              <w:t>à l'article 63, paragraphe 1, le paragraphe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«1 bis. La gestion de la superficie rendue disponible chaque année est propre à chaque État membre, sans qu’il puisse y avoir de transferts de superficie entre États membres.»;</w:t>
            </w:r>
          </w:p>
        </w:tc>
      </w:tr>
    </w:tbl>
    <w:p w:rsidR="002F2A46" w:rsidRPr="006F1CCE" w:rsidRDefault="002F2A46" w:rsidP="002F2A46">
      <w:pPr>
        <w:pStyle w:val="Olang"/>
        <w:rPr>
          <w:szCs w:val="24"/>
          <w:lang w:val="en-GB"/>
        </w:rPr>
      </w:pPr>
      <w:r w:rsidRPr="006F1CCE">
        <w:rPr>
          <w:lang w:val="en-GB"/>
        </w:rPr>
        <w:t xml:space="preserve">Or. </w:t>
      </w:r>
      <w:r w:rsidRPr="006F1CCE">
        <w:rPr>
          <w:rStyle w:val="HideTWBExt"/>
          <w:lang w:val="en-GB"/>
        </w:rPr>
        <w:t>&lt;Original&gt;</w:t>
      </w:r>
      <w:r w:rsidRPr="006F1CCE">
        <w:rPr>
          <w:rStyle w:val="HideTWBInt"/>
          <w:lang w:val="en-GB"/>
        </w:rPr>
        <w:t>{ES}</w:t>
      </w:r>
      <w:r w:rsidRPr="006F1CCE">
        <w:rPr>
          <w:lang w:val="en-GB"/>
        </w:rPr>
        <w:t>es</w:t>
      </w:r>
      <w:r w:rsidRPr="006F1CCE">
        <w:rPr>
          <w:rStyle w:val="HideTWBExt"/>
          <w:lang w:val="en-GB"/>
        </w:rPr>
        <w:t>&lt;/Original&gt;</w:t>
      </w:r>
    </w:p>
    <w:p w:rsidR="002F2A46" w:rsidRPr="006F1CCE" w:rsidRDefault="002F2A46" w:rsidP="002F2A46">
      <w:pPr>
        <w:pStyle w:val="CrossRef"/>
        <w:rPr>
          <w:noProof/>
          <w:lang w:val="en-GB"/>
        </w:rPr>
      </w:pPr>
      <w:r w:rsidRPr="006F1CCE">
        <w:rPr>
          <w:lang w:val="en-GB"/>
        </w:rPr>
        <w:t>(https://eur-lex.europa.eu/legal-content/FR/TXT/HTML/?uri=CELEX:32013R1308&amp;from=FR)</w:t>
      </w:r>
    </w:p>
    <w:p w:rsidR="002F2A46" w:rsidRPr="006F1CCE" w:rsidRDefault="002F2A46" w:rsidP="002F2A46">
      <w:pPr>
        <w:rPr>
          <w:noProof/>
          <w:lang w:val="en-GB"/>
        </w:rPr>
      </w:pPr>
      <w:r w:rsidRPr="006F1CCE">
        <w:rPr>
          <w:rStyle w:val="HideTWBExt"/>
          <w:lang w:val="en-GB"/>
        </w:rPr>
        <w:t>&lt;/Amend&gt;</w:t>
      </w:r>
    </w:p>
    <w:p w:rsidR="002F2A46" w:rsidRPr="002F2A46" w:rsidRDefault="002F2A46" w:rsidP="002F2A46">
      <w:pPr>
        <w:pStyle w:val="AMNumberTabs"/>
        <w:keepNext/>
        <w:rPr>
          <w:noProof/>
          <w:lang w:val="it-IT"/>
        </w:rPr>
      </w:pPr>
      <w:r w:rsidRPr="002F2A46">
        <w:rPr>
          <w:rStyle w:val="HideTWBExt"/>
          <w:b w:val="0"/>
          <w:lang w:val="it-IT"/>
        </w:rPr>
        <w:t>&lt;Amend&gt;</w:t>
      </w:r>
      <w:r w:rsidRPr="002F2A46">
        <w:rPr>
          <w:lang w:val="it-IT"/>
        </w:rPr>
        <w:t>Amendement</w:t>
      </w:r>
      <w:r w:rsidRPr="002F2A46">
        <w:rPr>
          <w:lang w:val="it-IT"/>
        </w:rPr>
        <w:tab/>
      </w:r>
      <w:r w:rsidRPr="002F2A46">
        <w:rPr>
          <w:lang w:val="it-IT"/>
        </w:rPr>
        <w:tab/>
      </w:r>
      <w:r w:rsidRPr="002F2A46">
        <w:rPr>
          <w:rStyle w:val="HideTWBExt"/>
          <w:b w:val="0"/>
          <w:lang w:val="it-IT"/>
        </w:rPr>
        <w:t>&lt;NumAm&gt;</w:t>
      </w:r>
      <w:r w:rsidRPr="002F2A46">
        <w:rPr>
          <w:lang w:val="it-IT"/>
        </w:rPr>
        <w:t>310</w:t>
      </w:r>
      <w:r w:rsidRPr="002F2A46">
        <w:rPr>
          <w:rStyle w:val="HideTWBExt"/>
          <w:b w:val="0"/>
          <w:lang w:val="it-IT"/>
        </w:rPr>
        <w:t>&lt;/NumAm&gt;</w:t>
      </w:r>
    </w:p>
    <w:p w:rsidR="002F2A46" w:rsidRPr="002F2A46" w:rsidRDefault="002F2A46" w:rsidP="002F2A46">
      <w:pPr>
        <w:pStyle w:val="NormalBold"/>
        <w:rPr>
          <w:noProof/>
          <w:lang w:val="it-IT"/>
        </w:rPr>
      </w:pPr>
      <w:r w:rsidRPr="002F2A46">
        <w:rPr>
          <w:rStyle w:val="HideTWBExt"/>
          <w:b w:val="0"/>
          <w:lang w:val="it-IT"/>
        </w:rPr>
        <w:t>&lt;RepeatBlock-By&gt;&lt;Members&gt;</w:t>
      </w:r>
      <w:r w:rsidRPr="002F2A46">
        <w:rPr>
          <w:lang w:val="it-IT"/>
        </w:rPr>
        <w:t>Mara Bizzotto, Angelo Ciocca</w:t>
      </w:r>
      <w:r w:rsidRPr="002F2A46">
        <w:rPr>
          <w:rStyle w:val="HideTWBExt"/>
          <w:b w:val="0"/>
          <w:lang w:val="it-IT"/>
        </w:rPr>
        <w:t>&lt;/Members&gt;</w:t>
      </w:r>
    </w:p>
    <w:p w:rsidR="002F2A46" w:rsidRPr="002F2A46" w:rsidRDefault="002F2A46" w:rsidP="002F2A46">
      <w:pPr>
        <w:rPr>
          <w:noProof/>
          <w:lang w:val="it-IT"/>
        </w:rPr>
      </w:pPr>
      <w:r w:rsidRPr="002F2A46">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63 – paragraphe 1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1 bis.</w:t>
            </w:r>
            <w:r w:rsidRPr="000A2FD1">
              <w:rPr>
                <w:b/>
                <w:i/>
              </w:rPr>
              <w:tab/>
              <w:t>Les États membres peuvent en outre rendre disponibles des autorisations de nouvelles plantations tous les trois ans, dans les limites correspondant à la somme de l’augmentation visée au point a) ou b) de chaque année;</w:t>
            </w:r>
          </w:p>
        </w:tc>
      </w:tr>
    </w:tbl>
    <w:p w:rsidR="002F2A46" w:rsidRPr="00657CF9" w:rsidRDefault="002F2A46" w:rsidP="002F2A46">
      <w:pPr>
        <w:pStyle w:val="Olang"/>
        <w:rPr>
          <w:szCs w:val="24"/>
          <w:lang w:val="en-GB"/>
        </w:rPr>
      </w:pPr>
      <w:r w:rsidRPr="00657CF9">
        <w:rPr>
          <w:lang w:val="en-GB"/>
        </w:rPr>
        <w:t xml:space="preserve">Or. </w:t>
      </w:r>
      <w:r w:rsidRPr="00657CF9">
        <w:rPr>
          <w:rStyle w:val="HideTWBExt"/>
          <w:lang w:val="en-GB"/>
        </w:rPr>
        <w:t>&lt;Original&gt;</w:t>
      </w:r>
      <w:r w:rsidRPr="00657CF9">
        <w:rPr>
          <w:rStyle w:val="HideTWBInt"/>
          <w:lang w:val="en-GB"/>
        </w:rPr>
        <w:t>{IT}</w:t>
      </w:r>
      <w:r w:rsidRPr="00657CF9">
        <w:rPr>
          <w:lang w:val="en-GB"/>
        </w:rPr>
        <w:t>it</w:t>
      </w:r>
      <w:r w:rsidRPr="00657CF9">
        <w:rPr>
          <w:rStyle w:val="HideTWBExt"/>
          <w:lang w:val="en-GB"/>
        </w:rPr>
        <w:t>&lt;/Original&gt;</w:t>
      </w:r>
    </w:p>
    <w:p w:rsidR="002F2A46" w:rsidRPr="00657CF9" w:rsidRDefault="002F2A46" w:rsidP="002F2A46">
      <w:pPr>
        <w:pStyle w:val="CrossRef"/>
        <w:rPr>
          <w:noProof/>
          <w:lang w:val="en-GB"/>
        </w:rPr>
      </w:pPr>
      <w:r w:rsidRPr="00657CF9">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0A2FD1">
        <w:t>Justification</w:t>
      </w:r>
      <w:r>
        <w:rPr>
          <w:rStyle w:val="HideTWBExt"/>
          <w:i w:val="0"/>
        </w:rPr>
        <w:t>&lt;/TitreJust&gt;</w:t>
      </w:r>
    </w:p>
    <w:p w:rsidR="002F2A46" w:rsidRPr="00A53FF9" w:rsidRDefault="002F2A46" w:rsidP="002F2A46">
      <w:pPr>
        <w:pStyle w:val="Normal12Italic"/>
      </w:pPr>
      <w:r>
        <w:t>L’introduction d’une disponibilité pluriannuelle des autorisations permet aux producteurs de planifier avec plus de précision leur production.</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311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5</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63 – paragraphe 1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1 bis.</w:t>
            </w:r>
            <w:r w:rsidRPr="00094D6B">
              <w:rPr>
                <w:b/>
                <w:i/>
              </w:rPr>
              <w:tab/>
              <w:t>La gestion de la superficie rendue disponible chaque année est propre à chaque État membre, sans qu’il puisse y avoir de transferts de superficie entre États membres.</w:t>
            </w:r>
          </w:p>
        </w:tc>
      </w:tr>
    </w:tbl>
    <w:p w:rsidR="002F2A46" w:rsidRPr="006F1CCE" w:rsidRDefault="002F2A46" w:rsidP="002F2A46">
      <w:pPr>
        <w:pStyle w:val="Olang"/>
        <w:rPr>
          <w:szCs w:val="24"/>
          <w:lang w:val="en-GB"/>
        </w:rPr>
      </w:pPr>
      <w:r w:rsidRPr="006F1CCE">
        <w:rPr>
          <w:lang w:val="en-GB"/>
        </w:rPr>
        <w:t xml:space="preserve">Or. </w:t>
      </w:r>
      <w:r w:rsidRPr="006F1CCE">
        <w:rPr>
          <w:rStyle w:val="HideTWBExt"/>
          <w:lang w:val="en-GB"/>
        </w:rPr>
        <w:t>&lt;Original&gt;</w:t>
      </w:r>
      <w:r w:rsidRPr="006F1CCE">
        <w:rPr>
          <w:rStyle w:val="HideTWBInt"/>
          <w:lang w:val="en-GB"/>
        </w:rPr>
        <w:t>{ES}</w:t>
      </w:r>
      <w:r w:rsidRPr="006F1CCE">
        <w:rPr>
          <w:lang w:val="en-GB"/>
        </w:rPr>
        <w:t>es</w:t>
      </w:r>
      <w:r w:rsidRPr="006F1CCE">
        <w:rPr>
          <w:rStyle w:val="HideTWBExt"/>
          <w:lang w:val="en-GB"/>
        </w:rPr>
        <w:t>&lt;/Original&gt;</w:t>
      </w:r>
    </w:p>
    <w:p w:rsidR="002F2A46" w:rsidRPr="006F1CCE" w:rsidRDefault="002F2A46" w:rsidP="002F2A46">
      <w:pPr>
        <w:pStyle w:val="CrossRef"/>
        <w:rPr>
          <w:noProof/>
          <w:lang w:val="en-GB"/>
        </w:rPr>
      </w:pPr>
      <w:r w:rsidRPr="006F1CCE">
        <w:rPr>
          <w:lang w:val="en-GB"/>
        </w:rPr>
        <w:t>(https://eur-lex.europa.eu/legal-content/FR/TXT/HTML/?uri=CELEX:02013R1308-20180101&amp;qid=1543573613250&amp;from=FR)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Il faut préciser très clairement que la gestion de la superficie relève de chaque État membre pour éviter que la superficie non utilisée dans un État membre ne puisse être utilisée par un autre.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A2FD1">
        <w:t>Amendement</w:t>
      </w:r>
      <w:r w:rsidRPr="000A2FD1">
        <w:tab/>
      </w:r>
      <w:r w:rsidRPr="000A2FD1">
        <w:tab/>
      </w:r>
      <w:r>
        <w:rPr>
          <w:rStyle w:val="HideTWBExt"/>
          <w:b w:val="0"/>
        </w:rPr>
        <w:t>&lt;NumAm&gt;</w:t>
      </w:r>
      <w:r w:rsidRPr="000A2FD1">
        <w:t>312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A2FD1">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63 – paragraphe 3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en vigueur</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(5 bis)</w:t>
            </w:r>
            <w:r w:rsidRPr="000A2FD1">
              <w:rPr>
                <w:b/>
                <w:i/>
              </w:rPr>
              <w:tab/>
              <w:t>à l'article 63, paragraphe 3, le point b) est remplacé par le texte suivant: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t>b) la nécessité d'éviter un risque dûment démontré de dépréciation importante d'une appellation d'origine protégée ou d'une indication géographique protégée donnée.</w:t>
            </w:r>
          </w:p>
        </w:tc>
        <w:tc>
          <w:tcPr>
            <w:tcW w:w="4876" w:type="dxa"/>
            <w:hideMark/>
          </w:tcPr>
          <w:p w:rsidR="002F2A46" w:rsidRPr="000A2FD1" w:rsidRDefault="002F2A46" w:rsidP="003A3553">
            <w:pPr>
              <w:pStyle w:val="Normal6"/>
              <w:rPr>
                <w:noProof/>
                <w:szCs w:val="24"/>
              </w:rPr>
            </w:pPr>
            <w:r w:rsidRPr="000A2FD1">
              <w:t>«b) la nécessité d'éviter un risque dûment démontré de dépréciation importante d'une appellation d'origine protégée ou d'une indication géographique protégée donnée.</w:t>
            </w:r>
            <w:r w:rsidRPr="000A2FD1">
              <w:rPr>
                <w:b/>
                <w:i/>
              </w:rPr>
              <w: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bl>
    <w:p w:rsidR="002F2A46" w:rsidRPr="002F2A46" w:rsidRDefault="002F2A46" w:rsidP="002F2A46">
      <w:pPr>
        <w:pStyle w:val="Olang"/>
        <w:rPr>
          <w:szCs w:val="24"/>
          <w:lang w:val="en-GB"/>
        </w:rPr>
      </w:pPr>
      <w:r w:rsidRPr="002F2A46">
        <w:rPr>
          <w:lang w:val="en-GB"/>
        </w:rPr>
        <w:t xml:space="preserve">Or. </w:t>
      </w:r>
      <w:r w:rsidRPr="002F2A46">
        <w:rPr>
          <w:rStyle w:val="HideTWBExt"/>
          <w:lang w:val="en-GB"/>
        </w:rPr>
        <w:t>&lt;Original&gt;</w:t>
      </w:r>
      <w:r w:rsidRPr="002F2A46">
        <w:rPr>
          <w:rStyle w:val="HideTWBInt"/>
          <w:lang w:val="en-GB"/>
        </w:rPr>
        <w:t>{IT}</w:t>
      </w:r>
      <w:r w:rsidRPr="002F2A46">
        <w:rPr>
          <w:lang w:val="en-GB"/>
        </w:rPr>
        <w:t>it</w:t>
      </w:r>
      <w:r w:rsidRPr="002F2A46">
        <w:rPr>
          <w:rStyle w:val="HideTWBExt"/>
          <w:lang w:val="en-GB"/>
        </w:rPr>
        <w:t>&lt;/Original&gt;</w:t>
      </w:r>
    </w:p>
    <w:p w:rsidR="002F2A46" w:rsidRPr="002F2A46" w:rsidRDefault="002F2A46" w:rsidP="002F2A46">
      <w:pPr>
        <w:pStyle w:val="CrossRef"/>
        <w:rPr>
          <w:noProof/>
          <w:lang w:val="en-GB"/>
        </w:rPr>
      </w:pPr>
      <w:r w:rsidRPr="002F2A46">
        <w:rPr>
          <w:lang w:val="en-GB"/>
        </w:rPr>
        <w:t>https://eur-lex.europa.eu/legal-content/fr/TXT/HTML/?uri=CELEX:02013R1308-20180101&amp;from=FR</w:t>
      </w:r>
    </w:p>
    <w:p w:rsidR="002F2A46" w:rsidRPr="002F2A46" w:rsidRDefault="002F2A46" w:rsidP="002F2A46">
      <w:pPr>
        <w:rPr>
          <w:noProof/>
          <w:lang w:val="en-GB"/>
        </w:rPr>
      </w:pPr>
      <w:r w:rsidRPr="002F2A46">
        <w:rPr>
          <w:rStyle w:val="HideTWBExt"/>
          <w:lang w:val="en-GB"/>
        </w:rPr>
        <w:t>&lt;/Amend&gt;</w:t>
      </w:r>
    </w:p>
    <w:p w:rsidR="002F2A46" w:rsidRPr="00657CF9" w:rsidRDefault="002F2A46" w:rsidP="002F2A46">
      <w:pPr>
        <w:pStyle w:val="AMNumberTabs"/>
        <w:keepNext/>
        <w:rPr>
          <w:noProof/>
          <w:lang w:val="it-IT"/>
        </w:rPr>
      </w:pPr>
      <w:r w:rsidRPr="00657CF9">
        <w:rPr>
          <w:rStyle w:val="HideTWBExt"/>
          <w:b w:val="0"/>
          <w:lang w:val="it-IT"/>
        </w:rPr>
        <w:t>&lt;Amend&gt;</w:t>
      </w:r>
      <w:r w:rsidRPr="00657CF9">
        <w:rPr>
          <w:lang w:val="it-IT"/>
        </w:rPr>
        <w:t>Amendement</w:t>
      </w:r>
      <w:r w:rsidRPr="00657CF9">
        <w:rPr>
          <w:lang w:val="it-IT"/>
        </w:rPr>
        <w:tab/>
      </w:r>
      <w:r w:rsidRPr="00657CF9">
        <w:rPr>
          <w:lang w:val="it-IT"/>
        </w:rPr>
        <w:tab/>
      </w:r>
      <w:r w:rsidRPr="00657CF9">
        <w:rPr>
          <w:rStyle w:val="HideTWBExt"/>
          <w:b w:val="0"/>
          <w:lang w:val="it-IT"/>
        </w:rPr>
        <w:t>&lt;NumAm&gt;</w:t>
      </w:r>
      <w:r w:rsidRPr="00657CF9">
        <w:rPr>
          <w:lang w:val="it-IT"/>
        </w:rPr>
        <w:t>313</w:t>
      </w:r>
      <w:r w:rsidRPr="00657CF9">
        <w:rPr>
          <w:rStyle w:val="HideTWBExt"/>
          <w:b w:val="0"/>
          <w:lang w:val="it-IT"/>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Marco Zullo, Ignazio Corrao, Rosa D'Amato</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63 – paragraphe 3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en vigueur</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(5 bis)</w:t>
            </w:r>
            <w:r w:rsidRPr="000A2FD1">
              <w:rPr>
                <w:b/>
                <w:i/>
              </w:rPr>
              <w:tab/>
              <w:t>à l'article 63, paragraphe 3, le point b) est modifié comme suit:</w:t>
            </w:r>
          </w:p>
        </w:tc>
      </w:tr>
      <w:tr w:rsidR="002F2A46" w:rsidRPr="00A53FF9" w:rsidTr="003A3553">
        <w:trPr>
          <w:jc w:val="center"/>
        </w:trPr>
        <w:tc>
          <w:tcPr>
            <w:tcW w:w="4876" w:type="dxa"/>
            <w:hideMark/>
          </w:tcPr>
          <w:p w:rsidR="002F2A46" w:rsidRPr="000A2FD1" w:rsidRDefault="002F2A46" w:rsidP="003A3553">
            <w:pPr>
              <w:pStyle w:val="Normal6"/>
              <w:rPr>
                <w:noProof/>
              </w:rPr>
            </w:pPr>
            <w:r w:rsidRPr="000A2FD1">
              <w:t xml:space="preserve">b) la nécessité d'éviter un risque </w:t>
            </w:r>
            <w:r w:rsidRPr="000A2FD1">
              <w:rPr>
                <w:b/>
                <w:i/>
              </w:rPr>
              <w:t xml:space="preserve">dûment démontré </w:t>
            </w:r>
            <w:r w:rsidRPr="000A2FD1">
              <w:t>de dépréciation</w:t>
            </w:r>
            <w:r w:rsidRPr="000A2FD1">
              <w:rPr>
                <w:b/>
                <w:i/>
              </w:rPr>
              <w:t xml:space="preserve"> importante</w:t>
            </w:r>
            <w:r w:rsidRPr="000A2FD1">
              <w:t xml:space="preserve"> d'une appellation d'origine protégée ou d'une indication géographique protégée donnée.</w:t>
            </w:r>
          </w:p>
        </w:tc>
        <w:tc>
          <w:tcPr>
            <w:tcW w:w="4876" w:type="dxa"/>
            <w:hideMark/>
          </w:tcPr>
          <w:p w:rsidR="002F2A46" w:rsidRPr="000A2FD1" w:rsidRDefault="002F2A46" w:rsidP="003A3553">
            <w:pPr>
              <w:pStyle w:val="Normal6"/>
              <w:rPr>
                <w:noProof/>
                <w:szCs w:val="24"/>
              </w:rPr>
            </w:pPr>
            <w:r w:rsidRPr="000A2FD1">
              <w:t>«</w:t>
            </w:r>
            <w:r w:rsidRPr="000A2FD1">
              <w:rPr>
                <w:b/>
                <w:i/>
              </w:rPr>
              <w:t>b)</w:t>
            </w:r>
            <w:r w:rsidRPr="000A2FD1">
              <w:t xml:space="preserve"> b) la nécessité d'éviter un risque de dépréciation d'une appellation d'origine protégée ou d'une indication géographique protégée donnée.</w:t>
            </w:r>
            <w:r w:rsidRPr="000A2FD1">
              <w:rPr>
                <w:b/>
                <w:i/>
              </w:rPr>
              <w: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bl>
    <w:p w:rsidR="002F2A46" w:rsidRPr="002F2A46" w:rsidRDefault="002F2A46" w:rsidP="002F2A46">
      <w:pPr>
        <w:pStyle w:val="Olang"/>
        <w:rPr>
          <w:szCs w:val="24"/>
          <w:lang w:val="en-GB"/>
        </w:rPr>
      </w:pPr>
      <w:r w:rsidRPr="002F2A46">
        <w:rPr>
          <w:lang w:val="en-GB"/>
        </w:rPr>
        <w:t xml:space="preserve">Or. </w:t>
      </w:r>
      <w:r w:rsidRPr="002F2A46">
        <w:rPr>
          <w:rStyle w:val="HideTWBExt"/>
          <w:lang w:val="en-GB"/>
        </w:rPr>
        <w:t>&lt;Original&gt;</w:t>
      </w:r>
      <w:r w:rsidRPr="002F2A46">
        <w:rPr>
          <w:rStyle w:val="HideTWBInt"/>
          <w:lang w:val="en-GB"/>
        </w:rPr>
        <w:t>{IT}</w:t>
      </w:r>
      <w:r w:rsidRPr="002F2A46">
        <w:rPr>
          <w:lang w:val="en-GB"/>
        </w:rPr>
        <w:t>it</w:t>
      </w:r>
      <w:r w:rsidRPr="002F2A46">
        <w:rPr>
          <w:rStyle w:val="HideTWBExt"/>
          <w:lang w:val="en-GB"/>
        </w:rPr>
        <w:t>&lt;/Original&gt;</w:t>
      </w:r>
    </w:p>
    <w:p w:rsidR="002F2A46" w:rsidRPr="002F2A46" w:rsidRDefault="002F2A46" w:rsidP="002F2A46">
      <w:pPr>
        <w:pStyle w:val="CrossRef"/>
        <w:rPr>
          <w:noProof/>
          <w:lang w:val="en-GB"/>
        </w:rPr>
      </w:pPr>
      <w:r w:rsidRPr="002F2A46">
        <w:rPr>
          <w:lang w:val="en-GB"/>
        </w:rPr>
        <w:t>(https://eur-lex.europa.eu/legal-content/FR/TXT/HTML/?uri=CELEX:32013R1308&amp;from=FR)</w:t>
      </w:r>
    </w:p>
    <w:p w:rsidR="002F2A46" w:rsidRPr="002F2A46" w:rsidRDefault="002F2A46" w:rsidP="002F2A46">
      <w:pPr>
        <w:rPr>
          <w:noProof/>
          <w:lang w:val="en-GB"/>
        </w:rPr>
      </w:pPr>
      <w:r w:rsidRPr="002F2A46">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314</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paragraphe 3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bis)</w:t>
            </w:r>
            <w:r w:rsidRPr="00A53FF9">
              <w:rPr>
                <w:b/>
                <w:i/>
              </w:rPr>
              <w:tab/>
              <w:t>A l'Article 63, le paragraphe 3bis est inséré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3 bis. Les Etats membres peuvent prendre toutes mesures règlementaires afin d'empêcher le contournement des mesures de restrictions prises en application des paragraphe 2 et 3.</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donner aux Etats membres le pouvoir réglementaire nécessaire afin de s'assurer que les opérateurs ne cherchent pas à contourner les mesures de restrictions prises en vertu de cet article.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315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63 – paragraphe 4</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(5 ter)</w:t>
            </w:r>
            <w:r w:rsidRPr="00DE5BAE">
              <w:rPr>
                <w:b/>
                <w:i/>
              </w:rPr>
              <w:tab/>
              <w:t>L’article 63, paragraphe 4, est modifié comme suit: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4. Les États membres rendent publique toute décision adoptée en application du paragraphe 2, qui doit être dûment motivée. Les États membres notifient immédiatement à la Commission lesdites décisions ainsi que leurs motivations.</w:t>
            </w:r>
          </w:p>
        </w:tc>
        <w:tc>
          <w:tcPr>
            <w:tcW w:w="4876" w:type="dxa"/>
            <w:hideMark/>
          </w:tcPr>
          <w:p w:rsidR="002F2A46" w:rsidRPr="00DE5BAE" w:rsidRDefault="002F2A46" w:rsidP="003A3553">
            <w:pPr>
              <w:pStyle w:val="Normal6"/>
              <w:rPr>
                <w:noProof/>
                <w:szCs w:val="24"/>
              </w:rPr>
            </w:pPr>
            <w:r w:rsidRPr="00DE5BAE">
              <w:t xml:space="preserve">«4. Les États membres rendent publique toute décision adoptée en application du paragraphe 2, qui doit être dûment motivée. Les États membres notifient immédiatement à la Commission lesdites décisions ainsi que leurs motivations. </w:t>
            </w:r>
            <w:r w:rsidRPr="00DE5BAE">
              <w:rPr>
                <w:b/>
                <w:i/>
              </w:rPr>
              <w:t>Il convient que la Commission examine si les décisions des États membres en vertu du paragraphe 2 sont justifiées.»</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p>
        </w:tc>
      </w:tr>
    </w:tbl>
    <w:p w:rsidR="002F2A46" w:rsidRPr="002F2A46" w:rsidRDefault="002F2A46" w:rsidP="002F2A46">
      <w:pPr>
        <w:pStyle w:val="Olang"/>
        <w:rPr>
          <w:szCs w:val="24"/>
          <w:lang w:val="en-GB"/>
        </w:rPr>
      </w:pPr>
      <w:r w:rsidRPr="002F2A46">
        <w:rPr>
          <w:lang w:val="en-GB"/>
        </w:rPr>
        <w:t xml:space="preserve">Or. </w:t>
      </w:r>
      <w:r w:rsidRPr="002F2A46">
        <w:rPr>
          <w:rStyle w:val="HideTWBExt"/>
          <w:lang w:val="en-GB"/>
        </w:rPr>
        <w:t>&lt;Original&gt;</w:t>
      </w:r>
      <w:r w:rsidRPr="002F2A46">
        <w:rPr>
          <w:rStyle w:val="HideTWBInt"/>
          <w:lang w:val="en-GB"/>
        </w:rPr>
        <w:t>{RO}</w:t>
      </w:r>
      <w:r w:rsidRPr="002F2A46">
        <w:rPr>
          <w:lang w:val="en-GB"/>
        </w:rPr>
        <w:t>ro</w:t>
      </w:r>
      <w:r w:rsidRPr="002F2A46">
        <w:rPr>
          <w:rStyle w:val="HideTWBExt"/>
          <w:lang w:val="en-GB"/>
        </w:rPr>
        <w:t>&lt;/Original&gt;</w:t>
      </w:r>
    </w:p>
    <w:p w:rsidR="002F2A46" w:rsidRPr="002F2A46" w:rsidRDefault="002F2A46" w:rsidP="002F2A46">
      <w:pPr>
        <w:pStyle w:val="CrossRef"/>
        <w:rPr>
          <w:noProof/>
          <w:lang w:val="en-GB"/>
        </w:rPr>
      </w:pPr>
      <w:r w:rsidRPr="002F2A46">
        <w:rPr>
          <w:lang w:val="en-GB"/>
        </w:rPr>
        <w:t>(https://eur-lex.europa.eu/legal-content/FR/TXT/HTML/?uri=CELEX:32013R1308&amp;from=fr)</w:t>
      </w:r>
    </w:p>
    <w:p w:rsidR="002F2A46" w:rsidRPr="002F2A46" w:rsidRDefault="002F2A46" w:rsidP="002F2A46">
      <w:pPr>
        <w:rPr>
          <w:noProof/>
          <w:lang w:val="en-GB"/>
        </w:rPr>
      </w:pPr>
      <w:r w:rsidRPr="002F2A46">
        <w:rPr>
          <w:rStyle w:val="HideTWBExt"/>
          <w:lang w:val="en-GB"/>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316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bis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paragraphe 4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bis)</w:t>
            </w:r>
            <w:r w:rsidRPr="00A53FF9">
              <w:rPr>
                <w:b/>
                <w:i/>
              </w:rPr>
              <w:tab/>
              <w:t>A l'article 63 le paragraphe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4 bis. Les limitations prévues au paragraphe 2 ne sont pas applicables aux plantations réalisées pour la production de jus de raisin.</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 devrait être limité à la vinification afin d’exclure les vignes destinées à produire du jus de raisin, comme c’est déjà le cas des vignes destinées à produire du raisin de table. Ceci permettrait  de faire émerger un secteur de production de jus de raisin y compris avec des variétés en voie de disparition (Chichaud d'origine ardéchoise, Argant d'origine franc-comtoise, Abondance d'origine savoyarde...)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317</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63 – paragraphe 4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ter)</w:t>
            </w:r>
            <w:r w:rsidRPr="00421CE3">
              <w:rPr>
                <w:b/>
                <w:i/>
              </w:rPr>
              <w:tab/>
              <w:t>à l’article 63, le paragraphe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4 bis. Les États membres peuvent créer une réserve nationale. Les autorisations suivantes peuvent être attribuées à la réserve nationale: a) les droits de plantation pour lesquels il n’a pas été déposé de demande de conversion par un producteur au 31 décembre 2020, conformément à la possibilité prévue par les dispositions transitoires énoncées à l’article 68; et/ou b) les autorisations de nouvelles plantations non utilisées; et/ou c) les autorisations de replantations non utilisées; et/ou d) les autorisations de plantations qui proviennent de vignobles abandonnés (conformément à la définition énoncée à l’article 2, paragraphe 1, point d), du règlement (UE) 2018/273).</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318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63 – alinéa 4 ter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ter)</w:t>
            </w:r>
            <w:r w:rsidRPr="00A53FF9">
              <w:rPr>
                <w:b/>
                <w:i/>
              </w:rPr>
              <w:tab/>
              <w:t>A l'article 63 le paragraphe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4 ter. Des autorisations allant au-delà des limitations prévues au paragraphe 2 peuvent être délivrées par les Etats membres pour des plantations réalisées dans le but de conserver les ressources génétiques de la vigne.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 régime des autorisations de plantation devrait être limité à la vinification afin d’exclure les vignes destinées à produire du jus de raisin, comme c’est déjà le cas des vignes destinées à produire du raisin de table. Ceci permettrait  de faire émerger un secteur de production de jus de raisin y compris avec des variétés en voie de disparition (Chichaud d'origine ardéchoise, Argant d'origine franc-comtoise, Abondance d'origine savoyarde...)</w:t>
      </w:r>
    </w:p>
    <w:p w:rsidR="002F2A46" w:rsidRPr="00A53FF9" w:rsidRDefault="002F2A46" w:rsidP="002F2A46">
      <w:r w:rsidRPr="00A53FF9">
        <w:rPr>
          <w:rStyle w:val="HideTWBExt"/>
        </w:rPr>
        <w:t>&lt;/Amend&gt;</w:t>
      </w:r>
    </w:p>
    <w:p w:rsidR="002F2A46" w:rsidRPr="00657CF9" w:rsidRDefault="002F2A46" w:rsidP="002F2A46">
      <w:pPr>
        <w:pStyle w:val="AMNumberTabs"/>
        <w:keepNext/>
        <w:rPr>
          <w:noProof/>
          <w:lang w:val="it-IT"/>
        </w:rPr>
      </w:pPr>
      <w:r w:rsidRPr="00657CF9">
        <w:rPr>
          <w:rStyle w:val="HideTWBExt"/>
          <w:b w:val="0"/>
          <w:lang w:val="it-IT"/>
        </w:rPr>
        <w:t>&lt;Amend&gt;</w:t>
      </w:r>
      <w:r w:rsidRPr="00657CF9">
        <w:rPr>
          <w:lang w:val="it-IT"/>
        </w:rPr>
        <w:t>Amendement</w:t>
      </w:r>
      <w:r w:rsidRPr="00657CF9">
        <w:rPr>
          <w:lang w:val="it-IT"/>
        </w:rPr>
        <w:tab/>
      </w:r>
      <w:r w:rsidRPr="00657CF9">
        <w:rPr>
          <w:lang w:val="it-IT"/>
        </w:rPr>
        <w:tab/>
      </w:r>
      <w:r w:rsidRPr="00657CF9">
        <w:rPr>
          <w:rStyle w:val="HideTWBExt"/>
          <w:b w:val="0"/>
          <w:lang w:val="it-IT"/>
        </w:rPr>
        <w:t>&lt;NumAm&gt;</w:t>
      </w:r>
      <w:r w:rsidRPr="00657CF9">
        <w:rPr>
          <w:lang w:val="it-IT"/>
        </w:rPr>
        <w:t>319</w:t>
      </w:r>
      <w:r w:rsidRPr="00657CF9">
        <w:rPr>
          <w:rStyle w:val="HideTWBExt"/>
          <w:b w:val="0"/>
          <w:lang w:val="it-IT"/>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Marco Zullo, Ignazio Corrao, Rosa D'Amato</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63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(5 ter)</w:t>
            </w:r>
            <w:r w:rsidRPr="000A2FD1">
              <w:rPr>
                <w:b/>
                <w:i/>
              </w:rPr>
              <w:tab/>
              <w:t>l'article 63 bis suivant est inséré:</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«Les États membres peuvent constituer une réserve nationale. Les autorisations suivantes peuvent être affectées à la réserve nationale:</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a) droits de plantation pour lesquels les producteurs n’ont pas soumis de demande de conversion avant le 31 décembre 2020, selon les modalités prévues par les dispositions transitoires visées à l’article 68;</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b) autorisations non utilisées pour de nouvelles plantations;</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c) autorisations de replantation non utilisées;</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d) autorisations de plantation déco</w:t>
            </w:r>
            <w:r>
              <w:rPr>
                <w:b/>
                <w:i/>
              </w:rPr>
              <w:t>ulant des vignobles abandonnés.</w:t>
            </w:r>
            <w:r w:rsidRPr="000A2FD1">
              <w:rPr>
                <w:b/>
                <w:i/>
              </w:rPr>
              <w: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bl>
    <w:p w:rsidR="002F2A46" w:rsidRPr="002F2A46" w:rsidRDefault="002F2A46" w:rsidP="002F2A46">
      <w:pPr>
        <w:pStyle w:val="Olang"/>
        <w:rPr>
          <w:szCs w:val="24"/>
          <w:lang w:val="en-GB"/>
        </w:rPr>
      </w:pPr>
      <w:r w:rsidRPr="002F2A46">
        <w:rPr>
          <w:lang w:val="en-GB"/>
        </w:rPr>
        <w:t xml:space="preserve">Or. </w:t>
      </w:r>
      <w:r w:rsidRPr="002F2A46">
        <w:rPr>
          <w:rStyle w:val="HideTWBExt"/>
          <w:lang w:val="en-GB"/>
        </w:rPr>
        <w:t>&lt;Original&gt;</w:t>
      </w:r>
      <w:r w:rsidRPr="002F2A46">
        <w:rPr>
          <w:rStyle w:val="HideTWBInt"/>
          <w:lang w:val="en-GB"/>
        </w:rPr>
        <w:t>{IT}</w:t>
      </w:r>
      <w:r w:rsidRPr="002F2A46">
        <w:rPr>
          <w:lang w:val="en-GB"/>
        </w:rPr>
        <w:t>it</w:t>
      </w:r>
      <w:r w:rsidRPr="002F2A46">
        <w:rPr>
          <w:rStyle w:val="HideTWBExt"/>
          <w:lang w:val="en-GB"/>
        </w:rPr>
        <w:t>&lt;/Original&gt;</w:t>
      </w:r>
    </w:p>
    <w:p w:rsidR="002F2A46" w:rsidRPr="002F2A46" w:rsidRDefault="002F2A46" w:rsidP="002F2A46">
      <w:pPr>
        <w:rPr>
          <w:noProof/>
          <w:lang w:val="en-GB"/>
        </w:rPr>
      </w:pPr>
      <w:r w:rsidRPr="002F2A46">
        <w:rPr>
          <w:rStyle w:val="HideTWBExt"/>
          <w:lang w:val="en-GB"/>
        </w:rPr>
        <w:t>&lt;/Amend&gt;</w:t>
      </w:r>
    </w:p>
    <w:p w:rsidR="002F2A46" w:rsidRPr="002F2A46" w:rsidRDefault="002F2A46" w:rsidP="002F2A46">
      <w:pPr>
        <w:pStyle w:val="AMNumberTabs"/>
        <w:keepNext/>
        <w:rPr>
          <w:noProof/>
          <w:lang w:val="en-GB"/>
        </w:rPr>
      </w:pPr>
      <w:r w:rsidRPr="002F2A46">
        <w:rPr>
          <w:rStyle w:val="HideTWBExt"/>
          <w:b w:val="0"/>
          <w:lang w:val="en-GB"/>
        </w:rPr>
        <w:t>&lt;Amend&gt;</w:t>
      </w:r>
      <w:r w:rsidRPr="002F2A46">
        <w:rPr>
          <w:lang w:val="en-GB"/>
        </w:rPr>
        <w:t>Amendement</w:t>
      </w:r>
      <w:r w:rsidRPr="002F2A46">
        <w:rPr>
          <w:lang w:val="en-GB"/>
        </w:rPr>
        <w:tab/>
      </w:r>
      <w:r w:rsidRPr="002F2A46">
        <w:rPr>
          <w:lang w:val="en-GB"/>
        </w:rPr>
        <w:tab/>
      </w:r>
      <w:r w:rsidRPr="002F2A46">
        <w:rPr>
          <w:rStyle w:val="HideTWBExt"/>
          <w:b w:val="0"/>
          <w:lang w:val="en-GB"/>
        </w:rPr>
        <w:t>&lt;NumAm&gt;</w:t>
      </w:r>
      <w:r w:rsidRPr="002F2A46">
        <w:rPr>
          <w:lang w:val="en-GB"/>
        </w:rPr>
        <w:t>320</w:t>
      </w:r>
      <w:r w:rsidRPr="002F2A46">
        <w:rPr>
          <w:rStyle w:val="HideTWBExt"/>
          <w:b w:val="0"/>
          <w:lang w:val="en-GB"/>
        </w:rPr>
        <w:t>&lt;/NumAm&gt;</w:t>
      </w:r>
    </w:p>
    <w:p w:rsidR="002F2A46" w:rsidRPr="002F2A46" w:rsidRDefault="002F2A46" w:rsidP="002F2A46">
      <w:pPr>
        <w:pStyle w:val="NormalBold"/>
        <w:rPr>
          <w:noProof/>
          <w:lang w:val="en-GB"/>
        </w:rPr>
      </w:pPr>
      <w:r w:rsidRPr="002F2A46">
        <w:rPr>
          <w:rStyle w:val="HideTWBExt"/>
          <w:b w:val="0"/>
          <w:lang w:val="en-GB"/>
        </w:rPr>
        <w:t>&lt;RepeatBlock-By&gt;&lt;Members&gt;</w:t>
      </w:r>
      <w:r w:rsidRPr="002F2A46">
        <w:rPr>
          <w:lang w:val="en-GB"/>
        </w:rPr>
        <w:t>Thomas Waitz</w:t>
      </w:r>
      <w:r w:rsidRPr="002F2A46">
        <w:rPr>
          <w:rStyle w:val="HideTWBExt"/>
          <w:b w:val="0"/>
          <w:lang w:val="en-GB"/>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64 – paragraphe 2 – point b</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bis)</w:t>
            </w:r>
            <w:r w:rsidRPr="00421CE3">
              <w:rPr>
                <w:b/>
                <w:i/>
              </w:rPr>
              <w:tab/>
              <w:t>à l’article 64, paragraphe 2, le point b)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b) les superficies dont les vignobles contribuent à la préservation de l'environnement;</w:t>
            </w:r>
          </w:p>
        </w:tc>
        <w:tc>
          <w:tcPr>
            <w:tcW w:w="4876" w:type="dxa"/>
            <w:hideMark/>
          </w:tcPr>
          <w:p w:rsidR="002F2A46" w:rsidRPr="00421CE3" w:rsidRDefault="002F2A46" w:rsidP="003A3553">
            <w:pPr>
              <w:pStyle w:val="Normal6"/>
              <w:rPr>
                <w:noProof/>
                <w:szCs w:val="24"/>
              </w:rPr>
            </w:pPr>
            <w:r w:rsidRPr="00421CE3">
              <w:rPr>
                <w:b/>
                <w:i/>
              </w:rPr>
              <w:t>«</w:t>
            </w:r>
            <w:r w:rsidRPr="00421CE3">
              <w:t>b) les superficies dont les vignobles contribuent à la préservation de l'environnement</w:t>
            </w:r>
            <w:r w:rsidRPr="00421CE3">
              <w:rPr>
                <w:b/>
                <w:i/>
              </w:rPr>
              <w:t xml:space="preserve"> ou à la conservation des ressources génétiques de variétés de vignes</w:t>
            </w:r>
            <w:r w:rsidRPr="00421CE3">
              <w:t>;</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Il convient de faire figurer la conservation des ressources génétiques parmi les critères d’octroi des autorisations, si les demandes admissibles au cours d’une année excèdent la superficie disponible pour de nouvelles plantations.</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A2FD1">
        <w:t>Amendement</w:t>
      </w:r>
      <w:r w:rsidRPr="000A2FD1">
        <w:tab/>
      </w:r>
      <w:r w:rsidRPr="000A2FD1">
        <w:tab/>
      </w:r>
      <w:r>
        <w:rPr>
          <w:rStyle w:val="HideTWBExt"/>
          <w:b w:val="0"/>
        </w:rPr>
        <w:t>&lt;NumAm&gt;</w:t>
      </w:r>
      <w:r w:rsidRPr="000A2FD1">
        <w:t>321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A2FD1">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64 – paragraphe 2 – point h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(5 ter)</w:t>
            </w:r>
            <w:r w:rsidRPr="000A2FD1">
              <w:rPr>
                <w:b/>
                <w:i/>
              </w:rPr>
              <w:tab/>
              <w:t>à l'article 64, paragraphe 2, le point suivant est ajouté:</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«h bis) Les producteurs âgés d’au maximum 40 ans (les jeunes agriculteurs) qui, à la date du dépôt de la demande d’aide, gèrent déjà une exploitation spécialisée en viticulture.»</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p>
        </w:tc>
      </w:tr>
    </w:tbl>
    <w:p w:rsidR="002F2A46" w:rsidRPr="00A53FF9" w:rsidRDefault="002F2A46" w:rsidP="002F2A46">
      <w:pPr>
        <w:pStyle w:val="Olang"/>
        <w:rPr>
          <w:szCs w:val="24"/>
        </w:rPr>
      </w:pPr>
      <w:r w:rsidRPr="000A2FD1">
        <w:t xml:space="preserve">Or. </w:t>
      </w:r>
      <w:r w:rsidRPr="0018229C">
        <w:rPr>
          <w:rStyle w:val="HideTWBExt"/>
        </w:rPr>
        <w:t>&lt;Original&gt;</w:t>
      </w:r>
      <w:r w:rsidRPr="0018229C">
        <w:rPr>
          <w:rStyle w:val="HideTWBInt"/>
        </w:rPr>
        <w:t>{IT}</w:t>
      </w:r>
      <w:r w:rsidRPr="000A2FD1">
        <w:t>it</w:t>
      </w:r>
      <w:r w:rsidRPr="0018229C">
        <w:rPr>
          <w:rStyle w:val="HideTWBExt"/>
        </w:rPr>
        <w:t>&lt;/Original&gt;</w:t>
      </w:r>
    </w:p>
    <w:p w:rsidR="002F2A46" w:rsidRPr="00A53FF9" w:rsidRDefault="002F2A46" w:rsidP="002F2A46">
      <w:pPr>
        <w:rPr>
          <w:noProof/>
        </w:rPr>
      </w:pPr>
      <w:r>
        <w:rPr>
          <w:rStyle w:val="HideTWBExt"/>
        </w:rPr>
        <w:t>&lt;/Amend&gt;</w:t>
      </w:r>
    </w:p>
    <w:p w:rsidR="002F2A46" w:rsidRPr="002F2A46" w:rsidRDefault="002F2A46" w:rsidP="002F2A46">
      <w:pPr>
        <w:pStyle w:val="AMNumberTabs"/>
        <w:keepNext/>
        <w:rPr>
          <w:noProof/>
        </w:rPr>
      </w:pPr>
      <w:r w:rsidRPr="002F2A46">
        <w:rPr>
          <w:rStyle w:val="HideTWBExt"/>
          <w:b w:val="0"/>
        </w:rPr>
        <w:t>&lt;Amend&gt;</w:t>
      </w:r>
      <w:r w:rsidRPr="002F2A46">
        <w:t>Amendement</w:t>
      </w:r>
      <w:r w:rsidRPr="002F2A46">
        <w:tab/>
      </w:r>
      <w:r w:rsidRPr="002F2A46">
        <w:tab/>
      </w:r>
      <w:r w:rsidRPr="002F2A46">
        <w:rPr>
          <w:rStyle w:val="HideTWBExt"/>
          <w:b w:val="0"/>
        </w:rPr>
        <w:t>&lt;NumAm&gt;</w:t>
      </w:r>
      <w:r w:rsidRPr="002F2A46">
        <w:t>322</w:t>
      </w:r>
      <w:r w:rsidRPr="002F2A46">
        <w:rPr>
          <w:rStyle w:val="HideTWBExt"/>
          <w:b w:val="0"/>
        </w:rPr>
        <w:t>&lt;/NumAm&gt;</w:t>
      </w:r>
    </w:p>
    <w:p w:rsidR="002F2A46" w:rsidRPr="002F2A46" w:rsidRDefault="002F2A46" w:rsidP="002F2A46">
      <w:pPr>
        <w:pStyle w:val="NormalBold"/>
        <w:rPr>
          <w:noProof/>
        </w:rPr>
      </w:pPr>
      <w:r w:rsidRPr="002F2A46">
        <w:rPr>
          <w:rStyle w:val="HideTWBExt"/>
          <w:b w:val="0"/>
        </w:rPr>
        <w:t>&lt;RepeatBlock-By&gt;&lt;Members&gt;</w:t>
      </w:r>
      <w:r w:rsidRPr="002F2A46">
        <w:t>Esther Herranz García, Ramón Luis Valcárcel Siso, Gabriel Mato, Esteban González Pons</w:t>
      </w:r>
      <w:r w:rsidRPr="002F2A46">
        <w:rPr>
          <w:rStyle w:val="HideTWBExt"/>
          <w:b w:val="0"/>
        </w:rPr>
        <w:t>&lt;/Members&gt;</w:t>
      </w:r>
    </w:p>
    <w:p w:rsidR="002F2A46" w:rsidRPr="002F2A46" w:rsidRDefault="002F2A46" w:rsidP="002F2A46">
      <w:pPr>
        <w:rPr>
          <w:noProof/>
        </w:rPr>
      </w:pPr>
      <w:r w:rsidRPr="002F2A46">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64 – paragraphe 3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5 ter)</w:t>
            </w:r>
            <w:r w:rsidRPr="00094D6B">
              <w:rPr>
                <w:b/>
                <w:i/>
              </w:rPr>
              <w:tab/>
              <w:t>à l'article 64, le paragraphe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«Dans le cas d’une restriction au titre de l’article 63, paragraphe 2, point b), au niveau régional, les critères de priorité et de recevabilité établis par l’article 64 pour le niveau régional peuvent être appliqués.»;</w:t>
            </w:r>
          </w:p>
        </w:tc>
      </w:tr>
    </w:tbl>
    <w:p w:rsidR="002F2A46" w:rsidRPr="006F1CCE" w:rsidRDefault="002F2A46" w:rsidP="002F2A46">
      <w:pPr>
        <w:pStyle w:val="Olang"/>
        <w:rPr>
          <w:szCs w:val="24"/>
          <w:lang w:val="en-GB"/>
        </w:rPr>
      </w:pPr>
      <w:r w:rsidRPr="006F1CCE">
        <w:rPr>
          <w:lang w:val="en-GB"/>
        </w:rPr>
        <w:t xml:space="preserve">Or. </w:t>
      </w:r>
      <w:r w:rsidRPr="006F1CCE">
        <w:rPr>
          <w:rStyle w:val="HideTWBExt"/>
          <w:lang w:val="en-GB"/>
        </w:rPr>
        <w:t>&lt;Original&gt;</w:t>
      </w:r>
      <w:r w:rsidRPr="006F1CCE">
        <w:rPr>
          <w:rStyle w:val="HideTWBInt"/>
          <w:lang w:val="en-GB"/>
        </w:rPr>
        <w:t>{ES}</w:t>
      </w:r>
      <w:r w:rsidRPr="006F1CCE">
        <w:rPr>
          <w:lang w:val="en-GB"/>
        </w:rPr>
        <w:t>es</w:t>
      </w:r>
      <w:r w:rsidRPr="006F1CCE">
        <w:rPr>
          <w:rStyle w:val="HideTWBExt"/>
          <w:lang w:val="en-GB"/>
        </w:rPr>
        <w:t>&lt;/Original&gt;</w:t>
      </w:r>
    </w:p>
    <w:p w:rsidR="002F2A46" w:rsidRPr="006F1CCE" w:rsidRDefault="002F2A46" w:rsidP="002F2A46">
      <w:pPr>
        <w:pStyle w:val="CrossRef"/>
        <w:rPr>
          <w:noProof/>
          <w:lang w:val="en-GB"/>
        </w:rPr>
      </w:pPr>
      <w:r w:rsidRPr="006F1CCE">
        <w:rPr>
          <w:lang w:val="en-GB"/>
        </w:rPr>
        <w:t>(https://eur-lex.europa.eu/legal-content/FR/TXT/HTML/?uri=CELEX:32013R1308&amp;from=FR)</w:t>
      </w:r>
    </w:p>
    <w:p w:rsidR="002F2A46" w:rsidRPr="006F1CCE" w:rsidRDefault="002F2A46" w:rsidP="002F2A46">
      <w:pPr>
        <w:rPr>
          <w:noProof/>
          <w:lang w:val="en-GB"/>
        </w:rPr>
      </w:pPr>
      <w:r w:rsidRPr="006F1CCE">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C13602">
        <w:t>Amendement</w:t>
      </w:r>
      <w:r w:rsidRPr="00C13602">
        <w:tab/>
      </w:r>
      <w:r w:rsidRPr="00C13602">
        <w:tab/>
      </w:r>
      <w:r>
        <w:rPr>
          <w:rStyle w:val="HideTWBExt"/>
          <w:b w:val="0"/>
        </w:rPr>
        <w:t>&lt;NumAm&gt;</w:t>
      </w:r>
      <w:r w:rsidRPr="00C13602">
        <w:t>323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C13602">
        <w:t>Nicola Caputo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C13602">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C13602">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C13602">
        <w:t>Règlement (UE) n° 1308/2013</w:t>
      </w:r>
      <w:r>
        <w:rPr>
          <w:rStyle w:val="HideTWBExt"/>
        </w:rPr>
        <w:t>&lt;/DocAmend2&gt;</w:t>
      </w:r>
    </w:p>
    <w:p w:rsidR="002F2A46" w:rsidRPr="00A53FF9" w:rsidRDefault="002F2A46" w:rsidP="002F2A46">
      <w:pPr>
        <w:rPr>
          <w:noProof/>
        </w:rPr>
      </w:pPr>
      <w:r>
        <w:rPr>
          <w:rStyle w:val="HideTWBExt"/>
        </w:rPr>
        <w:t>&lt;Article2&gt;</w:t>
      </w:r>
      <w:r w:rsidRPr="00C13602">
        <w:t>Article 64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C13602" w:rsidRDefault="002F2A46" w:rsidP="003A3553">
            <w:pPr>
              <w:pStyle w:val="ColumnHeading"/>
              <w:keepNext/>
              <w:rPr>
                <w:noProof/>
              </w:rPr>
            </w:pPr>
            <w:r w:rsidRPr="00C13602">
              <w:t>Texte proposé par la Commission</w:t>
            </w:r>
          </w:p>
        </w:tc>
        <w:tc>
          <w:tcPr>
            <w:tcW w:w="4876" w:type="dxa"/>
            <w:hideMark/>
          </w:tcPr>
          <w:p w:rsidR="002F2A46" w:rsidRPr="00C13602" w:rsidRDefault="002F2A46" w:rsidP="003A3553">
            <w:pPr>
              <w:pStyle w:val="ColumnHeading"/>
              <w:keepNext/>
              <w:rPr>
                <w:noProof/>
              </w:rPr>
            </w:pPr>
            <w:r w:rsidRPr="00C13602">
              <w:t>Amendement</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(5 bis)</w:t>
            </w:r>
            <w:r w:rsidRPr="00C13602">
              <w:rPr>
                <w:b/>
                <w:i/>
              </w:rPr>
              <w:tab/>
              <w:t>l’article 64 bis est ajouté:</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«Réserve nationale d’autorisations de plantations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1. Afin d’améliorer la gestion du potentiel de protection, les États membres créent une réserve nationale d’autorisations de plantations.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2. Les autorisations de plantations suivantes sont attribuées à la réserve nationale si elles ne sont pas utilisées dans les délais prescrits: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a) nouvelles autorisations de plantations;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b) autorisations de replantations;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c) autorisations de plantations qui proviennent de vignobles abandonnés.</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3. Les États membres peuvent fixer les conditions du transfert des autorisations de plantations dans la réserve nationale et de la gestion de la réserve.</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r w:rsidRPr="00C13602">
              <w:rPr>
                <w:b/>
                <w:i/>
              </w:rPr>
              <w:t>4. Les superficies transférées dans la réserve nationale d’autorisations de plantations sont affectées conformément à l’article 63.»;</w:t>
            </w:r>
          </w:p>
        </w:tc>
      </w:tr>
      <w:tr w:rsidR="002F2A46" w:rsidRPr="00A53FF9" w:rsidTr="003A3553">
        <w:trPr>
          <w:jc w:val="center"/>
        </w:trPr>
        <w:tc>
          <w:tcPr>
            <w:tcW w:w="4876" w:type="dxa"/>
          </w:tcPr>
          <w:p w:rsidR="002F2A46" w:rsidRPr="00C13602" w:rsidRDefault="002F2A46" w:rsidP="003A3553">
            <w:pPr>
              <w:pStyle w:val="Normal6"/>
              <w:rPr>
                <w:noProof/>
              </w:rPr>
            </w:pPr>
          </w:p>
        </w:tc>
        <w:tc>
          <w:tcPr>
            <w:tcW w:w="4876" w:type="dxa"/>
            <w:hideMark/>
          </w:tcPr>
          <w:p w:rsidR="002F2A46" w:rsidRPr="00C13602" w:rsidRDefault="002F2A46" w:rsidP="003A3553">
            <w:pPr>
              <w:pStyle w:val="Normal6"/>
              <w:rPr>
                <w:noProof/>
                <w:szCs w:val="24"/>
              </w:rPr>
            </w:pPr>
          </w:p>
        </w:tc>
      </w:tr>
    </w:tbl>
    <w:p w:rsidR="002F2A46" w:rsidRPr="002F2A46" w:rsidRDefault="002F2A46" w:rsidP="002F2A46">
      <w:pPr>
        <w:pStyle w:val="Olang"/>
        <w:rPr>
          <w:szCs w:val="24"/>
        </w:rPr>
      </w:pPr>
      <w:r w:rsidRPr="002F2A46">
        <w:t xml:space="preserve">Or. </w:t>
      </w:r>
      <w:r w:rsidRPr="002F2A46">
        <w:rPr>
          <w:rStyle w:val="HideTWBExt"/>
        </w:rPr>
        <w:t>&lt;Original&gt;</w:t>
      </w:r>
      <w:r w:rsidRPr="002F2A46">
        <w:rPr>
          <w:rStyle w:val="HideTWBInt"/>
        </w:rPr>
        <w:t>{XM}</w:t>
      </w:r>
      <w:r w:rsidRPr="002F2A46">
        <w:t>xm</w:t>
      </w:r>
      <w:r w:rsidRPr="002F2A46">
        <w:rPr>
          <w:rStyle w:val="HideTWBExt"/>
        </w:rPr>
        <w:t>&lt;/Original&gt;</w:t>
      </w:r>
    </w:p>
    <w:p w:rsidR="002F2A46" w:rsidRPr="002F2A46" w:rsidRDefault="002F2A46" w:rsidP="002F2A46">
      <w:pPr>
        <w:pStyle w:val="JustificationTitle"/>
      </w:pPr>
      <w:r w:rsidRPr="002F2A46">
        <w:rPr>
          <w:rStyle w:val="HideTWBExt"/>
          <w:i w:val="0"/>
        </w:rPr>
        <w:t>&lt;TitreJust&gt;</w:t>
      </w:r>
      <w:r w:rsidRPr="002F2A46">
        <w:t>Justification</w:t>
      </w:r>
      <w:r w:rsidRPr="002F2A46">
        <w:rPr>
          <w:rStyle w:val="HideTWBExt"/>
          <w:i w:val="0"/>
        </w:rPr>
        <w:t>&lt;/TitreJust&gt;</w:t>
      </w:r>
    </w:p>
    <w:p w:rsidR="002F2A46" w:rsidRPr="00E82583" w:rsidRDefault="002F2A46" w:rsidP="002F2A46">
      <w:pPr>
        <w:pStyle w:val="Normal12Italic"/>
        <w:rPr>
          <w:noProof w:val="0"/>
        </w:rPr>
      </w:pPr>
      <w:r w:rsidRPr="00E82583">
        <w:rPr>
          <w:noProof w:val="0"/>
        </w:rPr>
        <w:t>La mise en place de la réserve permettrait de préserver le potentiel viticole à la suite d’abandons ou d’autorisations non utilisées.</w:t>
      </w:r>
    </w:p>
    <w:p w:rsidR="002F2A46" w:rsidRPr="00A53FF9" w:rsidRDefault="002F2A46" w:rsidP="002F2A46">
      <w:pPr>
        <w:pStyle w:val="AMNumberTabs"/>
        <w:keepNext/>
        <w:rPr>
          <w:noProof/>
        </w:rPr>
      </w:pPr>
      <w:r w:rsidRPr="002B2128">
        <w:rPr>
          <w:rStyle w:val="HideTWBExt"/>
        </w:rPr>
        <w:t>&lt;/Amend&gt;</w:t>
      </w:r>
      <w:r>
        <w:rPr>
          <w:rStyle w:val="HideTWBExt"/>
          <w:b w:val="0"/>
        </w:rPr>
        <w:t>&lt;Amend&gt;</w:t>
      </w:r>
      <w:r w:rsidRPr="00421CE3">
        <w:t>Amendement</w:t>
      </w:r>
      <w:r w:rsidRPr="00421CE3">
        <w:tab/>
      </w:r>
      <w:r w:rsidRPr="00421CE3">
        <w:tab/>
      </w:r>
      <w:r>
        <w:rPr>
          <w:rStyle w:val="HideTWBExt"/>
          <w:b w:val="0"/>
        </w:rPr>
        <w:t>&lt;NumAm&gt;</w:t>
      </w:r>
      <w:r w:rsidRPr="00421CE3">
        <w:t>324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bis)</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bis) riz;</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5828C1">
        <w:t>Amendement</w:t>
      </w:r>
      <w:r w:rsidRPr="005828C1">
        <w:tab/>
      </w:r>
      <w:r w:rsidRPr="005828C1">
        <w:tab/>
      </w:r>
      <w:r>
        <w:rPr>
          <w:rStyle w:val="HideTWBExt"/>
          <w:b w:val="0"/>
        </w:rPr>
        <w:t>&lt;NumAm&gt;</w:t>
      </w:r>
      <w:r w:rsidRPr="005828C1">
        <w:t>325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5828C1">
        <w:t>Sofia Ribeiro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5828C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5828C1">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5828C1">
        <w:t>Règlement (UE) n° 1308/2013</w:t>
      </w:r>
      <w:r>
        <w:rPr>
          <w:rStyle w:val="HideTWBExt"/>
        </w:rPr>
        <w:t>&lt;/DocAmend2&gt;</w:t>
      </w:r>
    </w:p>
    <w:p w:rsidR="002F2A46" w:rsidRPr="00A53FF9" w:rsidRDefault="002F2A46" w:rsidP="002F2A46">
      <w:pPr>
        <w:rPr>
          <w:noProof/>
        </w:rPr>
      </w:pPr>
      <w:r>
        <w:rPr>
          <w:rStyle w:val="HideTWBExt"/>
        </w:rPr>
        <w:t>&lt;Article2&gt;</w:t>
      </w:r>
      <w:r w:rsidRPr="005828C1">
        <w:t>Article 75 – paragraphe 1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5828C1" w:rsidRDefault="002F2A46" w:rsidP="003A3553">
            <w:pPr>
              <w:pStyle w:val="ColumnHeading"/>
              <w:keepNext/>
              <w:rPr>
                <w:noProof/>
              </w:rPr>
            </w:pPr>
            <w:r w:rsidRPr="005828C1">
              <w:t>Texte proposé par la Commission</w:t>
            </w:r>
          </w:p>
        </w:tc>
        <w:tc>
          <w:tcPr>
            <w:tcW w:w="4876" w:type="dxa"/>
            <w:hideMark/>
          </w:tcPr>
          <w:p w:rsidR="002F2A46" w:rsidRPr="005828C1" w:rsidRDefault="002F2A46" w:rsidP="003A3553">
            <w:pPr>
              <w:pStyle w:val="ColumnHeading"/>
              <w:keepNext/>
              <w:rPr>
                <w:noProof/>
              </w:rPr>
            </w:pPr>
            <w:r w:rsidRPr="005828C1">
              <w:t>Amendement</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(5 bis)</w:t>
            </w:r>
            <w:r w:rsidRPr="005828C1">
              <w:rPr>
                <w:b/>
                <w:i/>
              </w:rPr>
              <w:tab/>
              <w:t>À l’article 75, paragraphe 1, le point suivant est ajouté :</w:t>
            </w:r>
          </w:p>
        </w:tc>
      </w:tr>
      <w:tr w:rsidR="002F2A46" w:rsidRPr="00A53FF9" w:rsidTr="003A3553">
        <w:trPr>
          <w:jc w:val="center"/>
        </w:trPr>
        <w:tc>
          <w:tcPr>
            <w:tcW w:w="4876" w:type="dxa"/>
          </w:tcPr>
          <w:p w:rsidR="002F2A46" w:rsidRPr="005828C1" w:rsidRDefault="002F2A46" w:rsidP="003A3553">
            <w:pPr>
              <w:pStyle w:val="Normal6"/>
              <w:rPr>
                <w:noProof/>
              </w:rPr>
            </w:pPr>
          </w:p>
        </w:tc>
        <w:tc>
          <w:tcPr>
            <w:tcW w:w="4876" w:type="dxa"/>
            <w:hideMark/>
          </w:tcPr>
          <w:p w:rsidR="002F2A46" w:rsidRPr="005828C1" w:rsidRDefault="002F2A46" w:rsidP="003A3553">
            <w:pPr>
              <w:pStyle w:val="Normal6"/>
              <w:rPr>
                <w:noProof/>
                <w:szCs w:val="24"/>
              </w:rPr>
            </w:pPr>
            <w:r w:rsidRPr="005828C1">
              <w:rPr>
                <w:b/>
                <w:i/>
              </w:rPr>
              <w:t>i bis) Lait et produits laitiers;</w:t>
            </w:r>
          </w:p>
        </w:tc>
      </w:tr>
    </w:tbl>
    <w:p w:rsidR="002F2A46" w:rsidRPr="00A53FF9" w:rsidRDefault="002F2A46" w:rsidP="002F2A46">
      <w:pPr>
        <w:pStyle w:val="Olang"/>
        <w:rPr>
          <w:szCs w:val="24"/>
        </w:rPr>
      </w:pPr>
      <w:r w:rsidRPr="005828C1">
        <w:t xml:space="preserve">Or. </w:t>
      </w:r>
      <w:r w:rsidRPr="00B75D78">
        <w:rPr>
          <w:rStyle w:val="HideTWBExt"/>
        </w:rPr>
        <w:t>&lt;Original&gt;</w:t>
      </w:r>
      <w:r w:rsidRPr="00B75D78">
        <w:rPr>
          <w:rStyle w:val="HideTWBInt"/>
        </w:rPr>
        <w:t>{PT}</w:t>
      </w:r>
      <w:r w:rsidRPr="005828C1">
        <w:t>pt</w:t>
      </w:r>
      <w:r w:rsidRPr="00B75D78">
        <w:rPr>
          <w:rStyle w:val="HideTWBExt"/>
        </w:rPr>
        <w:t>&lt;/Original&gt;</w:t>
      </w:r>
    </w:p>
    <w:p w:rsidR="002F2A46" w:rsidRPr="00A53FF9" w:rsidRDefault="002F2A46" w:rsidP="002F2A46">
      <w:pPr>
        <w:pStyle w:val="AMNumberTabs"/>
        <w:keepNext/>
        <w:rPr>
          <w:noProof/>
        </w:rPr>
      </w:pPr>
      <w:r>
        <w:rPr>
          <w:rStyle w:val="HideTWBExt"/>
        </w:rPr>
        <w:t>&lt;/Amend&gt;</w:t>
      </w:r>
      <w:r>
        <w:rPr>
          <w:rStyle w:val="HideTWBExt"/>
          <w:b w:val="0"/>
        </w:rPr>
        <w:t>&lt;Amend&gt;</w:t>
      </w:r>
      <w:r w:rsidRPr="00421CE3">
        <w:t>Amendement</w:t>
      </w:r>
      <w:r w:rsidRPr="00421CE3">
        <w:tab/>
      </w:r>
      <w:r w:rsidRPr="00421CE3">
        <w:tab/>
      </w:r>
      <w:r>
        <w:rPr>
          <w:rStyle w:val="HideTWBExt"/>
          <w:b w:val="0"/>
        </w:rPr>
        <w:t>&lt;NumAm&gt;</w:t>
      </w:r>
      <w:r w:rsidRPr="00421CE3">
        <w:t>326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Nuno Melo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ter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ter)</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ter) miel;</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A2FD1">
        <w:t>Amendement</w:t>
      </w:r>
      <w:r w:rsidRPr="000A2FD1">
        <w:tab/>
      </w:r>
      <w:r w:rsidRPr="000A2FD1">
        <w:tab/>
      </w:r>
      <w:r>
        <w:rPr>
          <w:rStyle w:val="HideTWBExt"/>
          <w:b w:val="0"/>
        </w:rPr>
        <w:t>&lt;NumAm&gt;</w:t>
      </w:r>
      <w:r w:rsidRPr="000A2FD1">
        <w:t>327</w:t>
      </w:r>
      <w:r>
        <w:rPr>
          <w:rStyle w:val="HideTWBExt"/>
          <w:b w:val="0"/>
        </w:rPr>
        <w:t>&lt;/NumAm&gt;</w:t>
      </w:r>
    </w:p>
    <w:p w:rsidR="002F2A46" w:rsidRPr="00657CF9" w:rsidRDefault="002F2A46" w:rsidP="002F2A46">
      <w:pPr>
        <w:pStyle w:val="NormalBold"/>
        <w:rPr>
          <w:noProof/>
          <w:lang w:val="it-IT"/>
        </w:rPr>
      </w:pPr>
      <w:r w:rsidRPr="00657CF9">
        <w:rPr>
          <w:rStyle w:val="HideTWBExt"/>
          <w:b w:val="0"/>
          <w:lang w:val="it-IT"/>
        </w:rPr>
        <w:t>&lt;RepeatBlock-By&gt;&lt;Members&gt;</w:t>
      </w:r>
      <w:r w:rsidRPr="00657CF9">
        <w:rPr>
          <w:lang w:val="it-IT"/>
        </w:rPr>
        <w:t>Marco Zullo, Ignazio Corrao, Rosa D'Amato</w:t>
      </w:r>
      <w:r w:rsidRPr="00657CF9">
        <w:rPr>
          <w:rStyle w:val="HideTWBExt"/>
          <w:b w:val="0"/>
          <w:lang w:val="it-IT"/>
        </w:rPr>
        <w:t>&lt;/Members&gt;</w:t>
      </w:r>
    </w:p>
    <w:p w:rsidR="002F2A46" w:rsidRPr="00657CF9" w:rsidRDefault="002F2A46" w:rsidP="002F2A46">
      <w:pPr>
        <w:rPr>
          <w:noProof/>
          <w:lang w:val="it-IT"/>
        </w:rPr>
      </w:pPr>
      <w:r w:rsidRPr="00657CF9">
        <w:rPr>
          <w:rStyle w:val="HideTWBExt"/>
          <w:lang w:val="it-IT"/>
        </w:rPr>
        <w:t>&lt;/RepeatBlock-By&gt;</w:t>
      </w:r>
    </w:p>
    <w:p w:rsidR="002F2A46" w:rsidRPr="00A53FF9" w:rsidRDefault="002F2A46" w:rsidP="002F2A46">
      <w:pPr>
        <w:pStyle w:val="NormalBold"/>
        <w:keepNext/>
        <w:rPr>
          <w:noProof/>
        </w:rPr>
      </w:pPr>
      <w:r>
        <w:rPr>
          <w:rStyle w:val="HideTWBExt"/>
          <w:b w:val="0"/>
        </w:rPr>
        <w:t>&lt;DocAmend&gt;</w:t>
      </w:r>
      <w:r w:rsidRPr="000A2FD1">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A2FD1">
        <w:t>Article 1 – alinéa 1 – point 5 quater (nouveau)</w:t>
      </w:r>
      <w:r>
        <w:rPr>
          <w:rStyle w:val="HideTWBExt"/>
          <w:b w:val="0"/>
        </w:rPr>
        <w:t>&lt;/Article&gt;</w:t>
      </w:r>
    </w:p>
    <w:p w:rsidR="002F2A46" w:rsidRPr="00A53FF9" w:rsidRDefault="002F2A46" w:rsidP="002F2A46">
      <w:pPr>
        <w:keepNext/>
        <w:rPr>
          <w:noProof/>
        </w:rPr>
      </w:pPr>
      <w:r>
        <w:rPr>
          <w:rStyle w:val="HideTWBExt"/>
        </w:rPr>
        <w:t>&lt;DocAmend2&gt;</w:t>
      </w:r>
      <w:r w:rsidRPr="000A2FD1">
        <w:t>Règlement (UE) n° 1308/2013</w:t>
      </w:r>
      <w:r>
        <w:rPr>
          <w:rStyle w:val="HideTWBExt"/>
        </w:rPr>
        <w:t>&lt;/DocAmend2&gt;</w:t>
      </w:r>
    </w:p>
    <w:p w:rsidR="002F2A46" w:rsidRPr="00A53FF9" w:rsidRDefault="002F2A46" w:rsidP="002F2A46">
      <w:pPr>
        <w:rPr>
          <w:noProof/>
        </w:rPr>
      </w:pPr>
      <w:r>
        <w:rPr>
          <w:rStyle w:val="HideTWBExt"/>
        </w:rPr>
        <w:t>&lt;Article2&gt;</w:t>
      </w:r>
      <w:r w:rsidRPr="000A2FD1">
        <w:t>Article 75 – paragraphe 1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A2FD1" w:rsidRDefault="002F2A46" w:rsidP="003A3553">
            <w:pPr>
              <w:pStyle w:val="ColumnHeading"/>
              <w:keepNext/>
              <w:rPr>
                <w:noProof/>
              </w:rPr>
            </w:pPr>
            <w:r w:rsidRPr="000A2FD1">
              <w:t>Texte proposé par la Commission</w:t>
            </w:r>
          </w:p>
        </w:tc>
        <w:tc>
          <w:tcPr>
            <w:tcW w:w="4876" w:type="dxa"/>
            <w:hideMark/>
          </w:tcPr>
          <w:p w:rsidR="002F2A46" w:rsidRPr="000A2FD1" w:rsidRDefault="002F2A46" w:rsidP="003A3553">
            <w:pPr>
              <w:pStyle w:val="ColumnHeading"/>
              <w:keepNext/>
              <w:rPr>
                <w:noProof/>
              </w:rPr>
            </w:pPr>
            <w:r w:rsidRPr="000A2FD1">
              <w:t>Amendement</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(5 quater)</w:t>
            </w:r>
            <w:r w:rsidRPr="000A2FD1">
              <w:rPr>
                <w:b/>
                <w:i/>
              </w:rPr>
              <w:tab/>
              <w:t>à l'article 75, paragraphe 1, le point suivant est ajouté:</w:t>
            </w:r>
          </w:p>
        </w:tc>
      </w:tr>
      <w:tr w:rsidR="002F2A46" w:rsidRPr="00A53FF9" w:rsidTr="003A3553">
        <w:trPr>
          <w:jc w:val="center"/>
        </w:trPr>
        <w:tc>
          <w:tcPr>
            <w:tcW w:w="4876" w:type="dxa"/>
          </w:tcPr>
          <w:p w:rsidR="002F2A46" w:rsidRPr="000A2FD1" w:rsidRDefault="002F2A46" w:rsidP="003A3553">
            <w:pPr>
              <w:pStyle w:val="Normal6"/>
              <w:rPr>
                <w:noProof/>
              </w:rPr>
            </w:pPr>
          </w:p>
        </w:tc>
        <w:tc>
          <w:tcPr>
            <w:tcW w:w="4876" w:type="dxa"/>
            <w:hideMark/>
          </w:tcPr>
          <w:p w:rsidR="002F2A46" w:rsidRPr="000A2FD1" w:rsidRDefault="002F2A46" w:rsidP="003A3553">
            <w:pPr>
              <w:pStyle w:val="Normal6"/>
              <w:rPr>
                <w:noProof/>
                <w:szCs w:val="24"/>
              </w:rPr>
            </w:pPr>
            <w:r w:rsidRPr="000A2FD1">
              <w:rPr>
                <w:b/>
                <w:i/>
              </w:rPr>
              <w:t>i bis) miel et produits de la ruche:</w:t>
            </w:r>
          </w:p>
        </w:tc>
      </w:tr>
    </w:tbl>
    <w:p w:rsidR="002F2A46" w:rsidRPr="002F2A46" w:rsidRDefault="002F2A46" w:rsidP="002F2A46">
      <w:pPr>
        <w:pStyle w:val="Olang"/>
        <w:rPr>
          <w:szCs w:val="24"/>
          <w:lang w:val="en-GB"/>
        </w:rPr>
      </w:pPr>
      <w:r w:rsidRPr="002F2A46">
        <w:rPr>
          <w:lang w:val="en-GB"/>
        </w:rPr>
        <w:t xml:space="preserve">Or. </w:t>
      </w:r>
      <w:r w:rsidRPr="002F2A46">
        <w:rPr>
          <w:rStyle w:val="HideTWBExt"/>
          <w:lang w:val="en-GB"/>
        </w:rPr>
        <w:t>&lt;Original&gt;</w:t>
      </w:r>
      <w:r w:rsidRPr="002F2A46">
        <w:rPr>
          <w:rStyle w:val="HideTWBInt"/>
          <w:lang w:val="en-GB"/>
        </w:rPr>
        <w:t>{IT}</w:t>
      </w:r>
      <w:r w:rsidRPr="002F2A46">
        <w:rPr>
          <w:lang w:val="en-GB"/>
        </w:rPr>
        <w:t>it</w:t>
      </w:r>
      <w:r w:rsidRPr="002F2A46">
        <w:rPr>
          <w:rStyle w:val="HideTWBExt"/>
          <w:lang w:val="en-GB"/>
        </w:rPr>
        <w:t>&lt;/Original&gt;</w:t>
      </w:r>
    </w:p>
    <w:p w:rsidR="002F2A46" w:rsidRPr="002F2A46" w:rsidRDefault="002F2A46" w:rsidP="002F2A46">
      <w:pPr>
        <w:pStyle w:val="AMNumberTabs"/>
        <w:keepNext/>
        <w:rPr>
          <w:noProof/>
          <w:lang w:val="en-GB"/>
        </w:rPr>
      </w:pPr>
      <w:r w:rsidRPr="002F2A46">
        <w:rPr>
          <w:rStyle w:val="HideTWBExt"/>
          <w:lang w:val="en-GB"/>
        </w:rPr>
        <w:t>&lt;/Amend&gt;</w:t>
      </w:r>
      <w:r w:rsidRPr="002F2A46">
        <w:rPr>
          <w:rStyle w:val="HideTWBExt"/>
          <w:b w:val="0"/>
          <w:lang w:val="en-GB"/>
        </w:rPr>
        <w:t>&lt;Amend&gt;</w:t>
      </w:r>
      <w:r w:rsidRPr="002F2A46">
        <w:rPr>
          <w:lang w:val="en-GB"/>
        </w:rPr>
        <w:t>Amendement</w:t>
      </w:r>
      <w:r w:rsidRPr="002F2A46">
        <w:rPr>
          <w:lang w:val="en-GB"/>
        </w:rPr>
        <w:tab/>
      </w:r>
      <w:r w:rsidRPr="002F2A46">
        <w:rPr>
          <w:lang w:val="en-GB"/>
        </w:rPr>
        <w:tab/>
      </w:r>
      <w:r w:rsidRPr="002F2A46">
        <w:rPr>
          <w:rStyle w:val="HideTWBExt"/>
          <w:b w:val="0"/>
          <w:lang w:val="en-GB"/>
        </w:rPr>
        <w:t>&lt;NumAm&gt;</w:t>
      </w:r>
      <w:r w:rsidRPr="002F2A46">
        <w:rPr>
          <w:lang w:val="en-GB"/>
        </w:rPr>
        <w:t>328</w:t>
      </w:r>
      <w:r w:rsidRPr="002F2A46">
        <w:rPr>
          <w:rStyle w:val="HideTWBExt"/>
          <w:b w:val="0"/>
          <w:lang w:val="en-GB"/>
        </w:rPr>
        <w:t>&lt;/NumAm&gt;</w:t>
      </w:r>
    </w:p>
    <w:p w:rsidR="002F2A46" w:rsidRPr="002F2A46" w:rsidRDefault="002F2A46" w:rsidP="002F2A46">
      <w:pPr>
        <w:pStyle w:val="NormalBold"/>
        <w:rPr>
          <w:noProof/>
          <w:lang w:val="en-GB"/>
        </w:rPr>
      </w:pPr>
      <w:r w:rsidRPr="002F2A46">
        <w:rPr>
          <w:rStyle w:val="HideTWBExt"/>
          <w:b w:val="0"/>
          <w:lang w:val="en-GB"/>
        </w:rPr>
        <w:t>&lt;RepeatBlock-By&gt;&lt;Members&gt;</w:t>
      </w:r>
      <w:r w:rsidRPr="002F2A46">
        <w:rPr>
          <w:lang w:val="en-GB"/>
        </w:rPr>
        <w:t>Nuno Melo</w:t>
      </w:r>
      <w:r w:rsidRPr="002F2A46">
        <w:rPr>
          <w:rStyle w:val="HideTWBExt"/>
          <w:b w:val="0"/>
          <w:lang w:val="en-GB"/>
        </w:rPr>
        <w:t>&lt;/Members&gt;</w:t>
      </w:r>
    </w:p>
    <w:p w:rsidR="002F2A46" w:rsidRPr="002F2A46" w:rsidRDefault="002F2A46" w:rsidP="002F2A46">
      <w:pPr>
        <w:rPr>
          <w:noProof/>
          <w:lang w:val="en-GB"/>
        </w:rPr>
      </w:pPr>
      <w:r w:rsidRPr="002F2A46">
        <w:rPr>
          <w:rStyle w:val="HideTWBExt"/>
          <w:lang w:val="en-GB"/>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quater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quater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quater)</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quater) produits de l’apiculture.</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329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Michel Dantin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64 – paragraphe 2 ter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ter)</w:t>
            </w:r>
            <w:r w:rsidRPr="00A53FF9">
              <w:rPr>
                <w:b/>
                <w:i/>
              </w:rPr>
              <w:tab/>
              <w:t>à l'article 64, le paragraphe suivant est inséré :</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 ter. Les Etats membres peuvent prendre toutes mesures règlementaires afin d'empêcher le contournement des critères qu’ils appliquent en vertu des paragraphe 1, 2 et 2bis.</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donner aux Etats membres le pouvoir réglementaire nécessaire afin de s'assurer que les opérateurs ne cherchent pas à contourner les critères d'éligibilité pris en vertu de cet article.</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330</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quater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64 – paragraphe 2 – point b</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quater)</w:t>
            </w:r>
            <w:r w:rsidRPr="00A53FF9">
              <w:rPr>
                <w:b/>
                <w:i/>
              </w:rPr>
              <w:tab/>
              <w:t>L'article 64 paragraphe 2 point b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rPr>
                <w:rFonts w:ascii="MS Gothic" w:hAnsi="MS Gothic"/>
              </w:rPr>
              <w:t xml:space="preserve">　　　</w:t>
            </w:r>
            <w:r w:rsidRPr="00A53FF9">
              <w:t>b) les superficies dont les vignobles contribuent à la préservation de l'environnement;</w:t>
            </w:r>
          </w:p>
        </w:tc>
        <w:tc>
          <w:tcPr>
            <w:tcW w:w="4876" w:type="dxa"/>
            <w:hideMark/>
          </w:tcPr>
          <w:p w:rsidR="002F2A46" w:rsidRPr="00A53FF9" w:rsidRDefault="002F2A46" w:rsidP="00CD03D8">
            <w:pPr>
              <w:pStyle w:val="Normal6"/>
              <w:rPr>
                <w:szCs w:val="24"/>
              </w:rPr>
            </w:pPr>
            <w:r w:rsidRPr="00A53FF9">
              <w:rPr>
                <w:rFonts w:ascii="MS Gothic" w:hAnsi="MS Gothic"/>
              </w:rPr>
              <w:t xml:space="preserve">　　　</w:t>
            </w:r>
            <w:r w:rsidR="00CD03D8" w:rsidRPr="00A53FF9">
              <w:t>«</w:t>
            </w:r>
            <w:r w:rsidRPr="00A53FF9">
              <w:t xml:space="preserve">b) les superficies dont les vignobles contribuent à la préservation de l'environnement </w:t>
            </w:r>
            <w:r w:rsidRPr="00A53FF9">
              <w:rPr>
                <w:b/>
                <w:i/>
              </w:rPr>
              <w:t>ou à la conservation des ressources génétiques de la vigne</w:t>
            </w:r>
            <w:r w:rsidRPr="00A53FF9">
              <w:t>;</w:t>
            </w:r>
            <w:r w:rsidR="00CD03D8" w:rsidRPr="00A53FF9">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Les différents régimes d’autorisation applicables à la vigne ont conduit le vignoble européen à un appauvrissement génétique. De nombreuses variétés sont en voie de disparition complète. Il convient d’aménager des dérogations à ces régimes d’autorisation afin d’inciter les opérateurs à planter ces ressources génétiques menacées.</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331</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64 – paragraphe 2 – point c</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ter)</w:t>
            </w:r>
            <w:r w:rsidRPr="00421CE3">
              <w:rPr>
                <w:b/>
                <w:i/>
              </w:rPr>
              <w:tab/>
              <w:t>à l’article 64, paragraphe 2, le point c) est supprimé;</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c) les superficies devant accueillir de nouvelles plantations dans le cadre de projets de remembrement;</w:t>
            </w: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Si les demandes d’autorisations de plantations admissibles au cours d’une année excèdent la superficie totale disponible, il convient que les États membres n’octroient pas d’autorisations supplémentaires en utilisant le remembrement comme critère prioritaire.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332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quater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64 – paragraphe 2 – point f</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quater)</w:t>
            </w:r>
            <w:r w:rsidRPr="00421CE3">
              <w:rPr>
                <w:b/>
                <w:i/>
              </w:rPr>
              <w:tab/>
              <w:t>à l’article 64, paragraphe 2, le point f) est modifié comme suit:</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t xml:space="preserve">f) les superficies devant accueillir de nouvelles plantations qui contribuent à accroître la compétitivité </w:t>
            </w:r>
            <w:r w:rsidRPr="00421CE3">
              <w:rPr>
                <w:b/>
                <w:i/>
              </w:rPr>
              <w:t>au niveau</w:t>
            </w:r>
            <w:r w:rsidRPr="00421CE3">
              <w:t xml:space="preserve"> de l'exploitation </w:t>
            </w:r>
            <w:r w:rsidRPr="00421CE3">
              <w:rPr>
                <w:b/>
                <w:i/>
              </w:rPr>
              <w:t>agricole</w:t>
            </w:r>
            <w:r w:rsidRPr="00421CE3">
              <w:t xml:space="preserve"> et au niveau </w:t>
            </w:r>
            <w:r w:rsidRPr="00421CE3">
              <w:rPr>
                <w:b/>
                <w:i/>
              </w:rPr>
              <w:t>régional</w:t>
            </w:r>
            <w:r w:rsidRPr="00421CE3">
              <w:t>;</w:t>
            </w:r>
          </w:p>
        </w:tc>
        <w:tc>
          <w:tcPr>
            <w:tcW w:w="4876" w:type="dxa"/>
            <w:hideMark/>
          </w:tcPr>
          <w:p w:rsidR="002F2A46" w:rsidRPr="00421CE3" w:rsidRDefault="002F2A46" w:rsidP="003A3553">
            <w:pPr>
              <w:pStyle w:val="Normal6"/>
              <w:rPr>
                <w:noProof/>
                <w:szCs w:val="24"/>
              </w:rPr>
            </w:pPr>
            <w:r w:rsidRPr="00421CE3">
              <w:t xml:space="preserve">«f) les superficies devant accueillir de nouvelles plantations qui contribuent à accroître la compétitivité de l'exploitation, </w:t>
            </w:r>
            <w:r w:rsidRPr="00421CE3">
              <w:rPr>
                <w:b/>
                <w:i/>
              </w:rPr>
              <w:t>au niveau national</w:t>
            </w:r>
            <w:r w:rsidRPr="00421CE3">
              <w:t xml:space="preserve"> et au niveau </w:t>
            </w:r>
            <w:r w:rsidRPr="00421CE3">
              <w:rPr>
                <w:b/>
                <w:i/>
              </w:rPr>
              <w:t>international</w:t>
            </w:r>
            <w:r w:rsidRPr="00421CE3">
              <w:t>;</w:t>
            </w:r>
            <w:r w:rsidR="00CD03D8"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(https://eur-lex.europa.eu/legal-content/FR/TXT/PDF/?uri=CELEX:32013R1308&amp;from=fr)</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DE5BAE">
        <w:t>Amendement</w:t>
      </w:r>
      <w:r w:rsidRPr="00DE5BAE">
        <w:tab/>
      </w:r>
      <w:r w:rsidRPr="00DE5BAE">
        <w:tab/>
      </w:r>
      <w:r>
        <w:rPr>
          <w:rStyle w:val="HideTWBExt"/>
          <w:b w:val="0"/>
        </w:rPr>
        <w:t>&lt;NumAm&gt;</w:t>
      </w:r>
      <w:r w:rsidRPr="00DE5BAE">
        <w:t>333</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5 quater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64 – paragraphe 2 – point f</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(5 quater)</w:t>
            </w:r>
            <w:r w:rsidRPr="00DE5BAE">
              <w:rPr>
                <w:b/>
                <w:i/>
              </w:rPr>
              <w:tab/>
              <w:t>L’article 64, paragraphe 2, point f), est modifié comme suit: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 xml:space="preserve">f) les superficies devant accueillir de nouvelles plantations qui contribuent à accroître la compétitivité </w:t>
            </w:r>
            <w:r w:rsidRPr="00DE5BAE">
              <w:rPr>
                <w:b/>
                <w:i/>
              </w:rPr>
              <w:t xml:space="preserve">au niveau </w:t>
            </w:r>
            <w:r w:rsidRPr="00DE5BAE">
              <w:t>de l’exploitation agricole</w:t>
            </w:r>
            <w:r w:rsidRPr="00DE5BAE">
              <w:rPr>
                <w:b/>
                <w:i/>
              </w:rPr>
              <w:t xml:space="preserve"> et</w:t>
            </w:r>
            <w:r w:rsidRPr="00DE5BAE">
              <w:t xml:space="preserve"> au niveau </w:t>
            </w:r>
            <w:r w:rsidRPr="00DE5BAE">
              <w:rPr>
                <w:b/>
                <w:i/>
              </w:rPr>
              <w:t>régional</w:t>
            </w:r>
            <w:r w:rsidRPr="00DE5BAE">
              <w:t>;</w:t>
            </w:r>
          </w:p>
        </w:tc>
        <w:tc>
          <w:tcPr>
            <w:tcW w:w="4876" w:type="dxa"/>
            <w:hideMark/>
          </w:tcPr>
          <w:p w:rsidR="002F2A46" w:rsidRPr="00DE5BAE" w:rsidRDefault="002F2A46" w:rsidP="003A3553">
            <w:pPr>
              <w:pStyle w:val="Normal6"/>
              <w:rPr>
                <w:noProof/>
                <w:szCs w:val="24"/>
              </w:rPr>
            </w:pPr>
            <w:r w:rsidRPr="00DE5BAE">
              <w:t xml:space="preserve">«f) les superficies devant accueillir de nouvelles plantations qui contribuent à accroître la compétitivité de l’exploitation agricole au niveau </w:t>
            </w:r>
            <w:r w:rsidRPr="00DE5BAE">
              <w:rPr>
                <w:b/>
                <w:i/>
              </w:rPr>
              <w:t>national et international</w:t>
            </w:r>
            <w:r w:rsidRPr="00DE5BAE">
              <w:t>;</w:t>
            </w:r>
            <w:r w:rsidRPr="00DE5BAE">
              <w:rPr>
                <w:b/>
                <w:i/>
              </w:rPr>
              <w: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 </w:t>
            </w: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CD03D8" w:rsidRDefault="002F2A46" w:rsidP="002F2A46">
      <w:pPr>
        <w:rPr>
          <w:noProof/>
          <w:lang w:val="en-GB"/>
        </w:rPr>
      </w:pPr>
      <w:r w:rsidRPr="00CD03D8">
        <w:rPr>
          <w:rStyle w:val="HideTWBExt"/>
          <w:lang w:val="en-GB"/>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334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Thomas Waitz</w:t>
      </w:r>
      <w:r>
        <w:rPr>
          <w:rStyle w:val="HideTWBExt"/>
          <w:b w:val="0"/>
        </w:rPr>
        <w:t>&lt;/Members&gt;</w:t>
      </w:r>
    </w:p>
    <w:p w:rsidR="002F2A46" w:rsidRPr="00A53FF9" w:rsidRDefault="002F2A46" w:rsidP="002F2A46">
      <w:pPr>
        <w:rPr>
          <w:noProof/>
        </w:rPr>
      </w:pPr>
      <w:r>
        <w:rPr>
          <w:rStyle w:val="HideTWBExt"/>
        </w:rPr>
        <w:t>&lt;AuNomDe&gt;</w:t>
      </w:r>
      <w:r w:rsidRPr="00421CE3">
        <w:rPr>
          <w:rStyle w:val="HideTWBInt"/>
        </w:rPr>
        <w:t>{Verts/ALE}</w:t>
      </w:r>
      <w:r w:rsidRPr="00421CE3">
        <w:t>au nom du groupe Verts/ALE</w:t>
      </w:r>
      <w:r>
        <w:rPr>
          <w:rStyle w:val="HideTWBExt"/>
        </w:rPr>
        <w:t>&lt;/AuNomDe&gt;</w:t>
      </w:r>
    </w:p>
    <w:p w:rsidR="002F2A46" w:rsidRPr="00A53FF9" w:rsidRDefault="002F2A46" w:rsidP="002F2A46">
      <w:pPr>
        <w:pStyle w:val="NormalBold"/>
        <w:rPr>
          <w:noProof/>
        </w:rPr>
      </w:pPr>
      <w:r>
        <w:rPr>
          <w:rStyle w:val="HideTWBExt"/>
          <w:b w:val="0"/>
        </w:rPr>
        <w:t>&lt;Members&gt;</w:t>
      </w:r>
      <w:r w:rsidRPr="00421CE3">
        <w:t>Ana Miranda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quater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64 – paragraphe 2 – point f</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en vigueur</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quater)</w:t>
            </w:r>
            <w:r w:rsidRPr="00421CE3">
              <w:rPr>
                <w:b/>
                <w:i/>
              </w:rPr>
              <w:tab/>
              <w:t>à l’article 64, paragraphe 2, le point f) est supprimé;</w:t>
            </w:r>
          </w:p>
        </w:tc>
      </w:tr>
      <w:tr w:rsidR="002F2A46" w:rsidRPr="00A53FF9" w:rsidTr="003A3553">
        <w:trPr>
          <w:jc w:val="center"/>
        </w:trPr>
        <w:tc>
          <w:tcPr>
            <w:tcW w:w="4876" w:type="dxa"/>
            <w:hideMark/>
          </w:tcPr>
          <w:p w:rsidR="002F2A46" w:rsidRPr="00421CE3" w:rsidRDefault="002F2A46" w:rsidP="003A3553">
            <w:pPr>
              <w:pStyle w:val="Normal6"/>
              <w:rPr>
                <w:noProof/>
              </w:rPr>
            </w:pPr>
            <w:r w:rsidRPr="00421CE3">
              <w:rPr>
                <w:b/>
                <w:i/>
              </w:rPr>
              <w:t>f) les superficies devant accueillir de nouvelles plantations qui contribuent à accroître la compétitivité au niveau de l'exploitation agricole et au niveau régional;</w:t>
            </w: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CrossRef"/>
        <w:rPr>
          <w:noProof/>
        </w:rPr>
      </w:pPr>
      <w:r>
        <w:t>(https://eur-lex.europa.eu/legal-content/FR/TXT/?uri=CELEX%3A02013R1308-20180101)</w:t>
      </w:r>
    </w:p>
    <w:p w:rsidR="002F2A46" w:rsidRPr="00A53FF9" w:rsidRDefault="002F2A46" w:rsidP="002F2A46">
      <w:pPr>
        <w:pStyle w:val="JustificationTitle"/>
      </w:pPr>
      <w:r>
        <w:rPr>
          <w:rStyle w:val="HideTWBExt"/>
          <w:i w:val="0"/>
        </w:rPr>
        <w:t>&lt;TitreJust&gt;</w:t>
      </w:r>
      <w:r w:rsidRPr="00421CE3">
        <w:t>Justification</w:t>
      </w:r>
      <w:r>
        <w:rPr>
          <w:rStyle w:val="HideTWBExt"/>
          <w:i w:val="0"/>
        </w:rPr>
        <w:t>&lt;/TitreJust&gt;</w:t>
      </w:r>
    </w:p>
    <w:p w:rsidR="002F2A46" w:rsidRPr="00A53FF9" w:rsidRDefault="002F2A46" w:rsidP="002F2A46">
      <w:pPr>
        <w:pStyle w:val="Normal12Italic"/>
      </w:pPr>
      <w:r>
        <w:t>Si les demandes d’autorisations de plantations admissibles au cours d’une année excèdent la superficie totale disponible, il convient que les États membres n’octroient pas d’autorisations supplémentaires en utilisant la compétitivité comme critère prioritaire.</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es-ES"/>
        </w:rPr>
      </w:pPr>
      <w:r w:rsidRPr="006F1CCE">
        <w:rPr>
          <w:rStyle w:val="HideTWBExt"/>
          <w:b w:val="0"/>
          <w:lang w:val="es-ES"/>
        </w:rPr>
        <w:t>&lt;Amend&gt;</w:t>
      </w:r>
      <w:r w:rsidRPr="006F1CCE">
        <w:rPr>
          <w:lang w:val="es-ES"/>
        </w:rPr>
        <w:t>Amendement</w:t>
      </w:r>
      <w:r w:rsidRPr="006F1CCE">
        <w:rPr>
          <w:lang w:val="es-ES"/>
        </w:rPr>
        <w:tab/>
      </w:r>
      <w:r w:rsidRPr="006F1CCE">
        <w:rPr>
          <w:lang w:val="es-ES"/>
        </w:rPr>
        <w:tab/>
      </w:r>
      <w:r w:rsidRPr="006F1CCE">
        <w:rPr>
          <w:rStyle w:val="HideTWBExt"/>
          <w:b w:val="0"/>
          <w:lang w:val="es-ES"/>
        </w:rPr>
        <w:t>&lt;NumAm&gt;</w:t>
      </w:r>
      <w:r w:rsidRPr="006F1CCE">
        <w:rPr>
          <w:lang w:val="es-ES"/>
        </w:rPr>
        <w:t>335</w:t>
      </w:r>
      <w:r w:rsidRPr="006F1CCE">
        <w:rPr>
          <w:rStyle w:val="HideTWBExt"/>
          <w:b w:val="0"/>
          <w:lang w:val="es-ES"/>
        </w:rPr>
        <w:t>&lt;/NumAm&gt;</w:t>
      </w:r>
    </w:p>
    <w:p w:rsidR="002F2A46" w:rsidRPr="006F1CCE" w:rsidRDefault="002F2A46" w:rsidP="002F2A46">
      <w:pPr>
        <w:pStyle w:val="NormalBold"/>
        <w:rPr>
          <w:noProof/>
          <w:lang w:val="es-ES"/>
        </w:rPr>
      </w:pPr>
      <w:r w:rsidRPr="006F1CCE">
        <w:rPr>
          <w:rStyle w:val="HideTWBExt"/>
          <w:b w:val="0"/>
          <w:lang w:val="es-ES"/>
        </w:rPr>
        <w:t>&lt;RepeatBlock-By&gt;&lt;Members&gt;</w:t>
      </w:r>
      <w:r w:rsidRPr="006F1CCE">
        <w:rPr>
          <w:lang w:val="es-ES"/>
        </w:rPr>
        <w:t>Esther Herranz García, Ramón Luis Valcárcel Siso, Gabriel Mato, Esteban González Pons</w:t>
      </w:r>
      <w:r w:rsidRPr="006F1CCE">
        <w:rPr>
          <w:rStyle w:val="HideTWBExt"/>
          <w:b w:val="0"/>
          <w:lang w:val="es-ES"/>
        </w:rPr>
        <w:t>&lt;/Members&gt;</w:t>
      </w:r>
    </w:p>
    <w:p w:rsidR="002F2A46" w:rsidRPr="006F1CCE" w:rsidRDefault="002F2A46" w:rsidP="002F2A46">
      <w:pPr>
        <w:rPr>
          <w:noProof/>
          <w:lang w:val="es-ES"/>
        </w:rPr>
      </w:pPr>
      <w:r w:rsidRPr="006F1CCE">
        <w:rPr>
          <w:rStyle w:val="HideTWBExt"/>
          <w:lang w:val="es-ES"/>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64 – paragraphe 2 – point h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5 bis)</w:t>
            </w:r>
            <w:r w:rsidRPr="00094D6B">
              <w:rPr>
                <w:b/>
                <w:i/>
              </w:rPr>
              <w:tab/>
              <w:t>à l’article 64, paragraphe 2, le point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«h bis) les demandeurs qui aient été adjudicataires de nouvelles plantations;»;</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L'objectif de cet amendement est d’éviter une concentration de la majorité des concessions aux mains d’un petit nombre.</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094D6B">
        <w:t>Amendement</w:t>
      </w:r>
      <w:r w:rsidRPr="00094D6B">
        <w:tab/>
      </w:r>
      <w:r w:rsidRPr="00094D6B">
        <w:tab/>
      </w:r>
      <w:r>
        <w:rPr>
          <w:rStyle w:val="HideTWBExt"/>
          <w:b w:val="0"/>
        </w:rPr>
        <w:t>&lt;NumAm&gt;</w:t>
      </w:r>
      <w:r w:rsidRPr="00094D6B">
        <w:t>336</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094D6B">
        <w:t>Clara Eugenia Aguilera García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64 – paragraphe 3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proposé par la Commission</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5 bis)</w:t>
            </w:r>
            <w:r w:rsidRPr="00094D6B">
              <w:rPr>
                <w:b/>
                <w:i/>
              </w:rPr>
              <w:tab/>
              <w:t>à l’article 64, le paragraphe 3 bis suivant est ajouté:</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«3 bis. Les États membres peuvent ajouter d’autres critères de recevabilité, d’autres formes de répartition et d’autres critères de priorité en fonction des nécessités recensées dans les plans stratégiques relevant de la PAC établis par l’article 91 du règlement (UE) .../... du Parlement européen et du Conseil [règlement relatif aux plans stratégiques relevant de la PAC].»;</w:t>
            </w:r>
          </w:p>
        </w:tc>
      </w:tr>
    </w:tbl>
    <w:p w:rsidR="002F2A46" w:rsidRPr="00A53FF9" w:rsidRDefault="002F2A46" w:rsidP="002F2A46">
      <w:pPr>
        <w:pStyle w:val="Olang"/>
        <w:rPr>
          <w:szCs w:val="24"/>
        </w:rPr>
      </w:pPr>
      <w:r w:rsidRPr="00094D6B">
        <w:t xml:space="preserve">Or. </w:t>
      </w:r>
      <w:r w:rsidRPr="00543A23">
        <w:rPr>
          <w:rStyle w:val="HideTWBExt"/>
        </w:rPr>
        <w:t>&lt;Original&gt;</w:t>
      </w:r>
      <w:r w:rsidRPr="00543A23">
        <w:rPr>
          <w:rStyle w:val="HideTWBInt"/>
        </w:rPr>
        <w:t>{ES}</w:t>
      </w:r>
      <w:r w:rsidRPr="00094D6B">
        <w:t>es</w:t>
      </w:r>
      <w:r w:rsidRPr="00543A23">
        <w:rPr>
          <w:rStyle w:val="HideTWBExt"/>
        </w:rPr>
        <w:t>&lt;/Original&gt;</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Les critères régissant l’autorisation de nouvelles plantations devraient être issus de la réflexion d’ensemble menée dans le cadre du plan stratégique national, et non directement de l’acte de base. Jusqu’à présent, pour chaque modification d’un critère ou création d'un nouveau, il a été nécessaire de modifier l’acte de base.  Cet amendement vise à laisser aux États membres la possibilité de suivre les critères établis par le règlement ou d’autres critères selon ce qui est le plus adapté à leurs besoins.</w:t>
      </w:r>
    </w:p>
    <w:p w:rsidR="002F2A46" w:rsidRPr="00A53FF9" w:rsidRDefault="002F2A46" w:rsidP="002F2A46">
      <w:pPr>
        <w:rPr>
          <w:noProof/>
        </w:rPr>
      </w:pPr>
      <w:r>
        <w:rPr>
          <w:rStyle w:val="HideTWBExt"/>
        </w:rPr>
        <w:t>&lt;/Amend&gt;</w:t>
      </w:r>
    </w:p>
    <w:p w:rsidR="002F2A46" w:rsidRPr="006F1CCE" w:rsidRDefault="002F2A46" w:rsidP="002F2A46">
      <w:pPr>
        <w:pStyle w:val="AMNumberTabs"/>
        <w:keepNext/>
        <w:rPr>
          <w:noProof/>
          <w:lang w:val="pt-PT"/>
        </w:rPr>
      </w:pPr>
      <w:r w:rsidRPr="006F1CCE">
        <w:rPr>
          <w:rStyle w:val="HideTWBExt"/>
          <w:b w:val="0"/>
          <w:lang w:val="pt-PT"/>
        </w:rPr>
        <w:t>&lt;Amend&gt;</w:t>
      </w:r>
      <w:r w:rsidRPr="006F1CCE">
        <w:rPr>
          <w:lang w:val="pt-PT"/>
        </w:rPr>
        <w:t>Amendement</w:t>
      </w:r>
      <w:r w:rsidRPr="006F1CCE">
        <w:rPr>
          <w:lang w:val="pt-PT"/>
        </w:rPr>
        <w:tab/>
      </w:r>
      <w:r w:rsidRPr="006F1CCE">
        <w:rPr>
          <w:lang w:val="pt-PT"/>
        </w:rPr>
        <w:tab/>
      </w:r>
      <w:r w:rsidRPr="006F1CCE">
        <w:rPr>
          <w:rStyle w:val="HideTWBExt"/>
          <w:b w:val="0"/>
          <w:lang w:val="pt-PT"/>
        </w:rPr>
        <w:t>&lt;NumAm&gt;</w:t>
      </w:r>
      <w:r w:rsidRPr="006F1CCE">
        <w:rPr>
          <w:lang w:val="pt-PT"/>
        </w:rPr>
        <w:t>337</w:t>
      </w:r>
      <w:r w:rsidRPr="006F1CCE">
        <w:rPr>
          <w:rStyle w:val="HideTWBExt"/>
          <w:b w:val="0"/>
          <w:lang w:val="pt-PT"/>
        </w:rPr>
        <w:t>&lt;/NumAm&gt;</w:t>
      </w:r>
    </w:p>
    <w:p w:rsidR="002F2A46" w:rsidRPr="006F1CCE" w:rsidRDefault="002F2A46" w:rsidP="002F2A46">
      <w:pPr>
        <w:pStyle w:val="NormalBold"/>
        <w:rPr>
          <w:noProof/>
          <w:lang w:val="pt-PT"/>
        </w:rPr>
      </w:pPr>
      <w:r w:rsidRPr="006F1CCE">
        <w:rPr>
          <w:rStyle w:val="HideTWBExt"/>
          <w:b w:val="0"/>
          <w:lang w:val="pt-PT"/>
        </w:rPr>
        <w:t>&lt;RepeatBlock-By&gt;&lt;Members&gt;</w:t>
      </w:r>
      <w:r w:rsidRPr="006F1CCE">
        <w:rPr>
          <w:lang w:val="pt-PT"/>
        </w:rPr>
        <w:t>Maria Lidia Senra Rodríguez</w:t>
      </w:r>
      <w:r w:rsidRPr="006F1CCE">
        <w:rPr>
          <w:rStyle w:val="HideTWBExt"/>
          <w:b w:val="0"/>
          <w:lang w:val="pt-PT"/>
        </w:rPr>
        <w:t>&lt;/Members&gt;</w:t>
      </w:r>
    </w:p>
    <w:p w:rsidR="002F2A46" w:rsidRPr="006F1CCE" w:rsidRDefault="002F2A46" w:rsidP="002F2A46">
      <w:pPr>
        <w:rPr>
          <w:noProof/>
          <w:lang w:val="pt-PT"/>
        </w:rPr>
      </w:pPr>
      <w:r w:rsidRPr="006F1CCE">
        <w:rPr>
          <w:rStyle w:val="HideTWBExt"/>
          <w:lang w:val="pt-PT"/>
        </w:rPr>
        <w:t>&lt;/RepeatBlock-By&gt;</w:t>
      </w:r>
    </w:p>
    <w:p w:rsidR="002F2A46" w:rsidRPr="00A53FF9" w:rsidRDefault="002F2A46" w:rsidP="002F2A46">
      <w:pPr>
        <w:pStyle w:val="NormalBold"/>
        <w:keepNext/>
        <w:rPr>
          <w:noProof/>
        </w:rPr>
      </w:pPr>
      <w:r>
        <w:rPr>
          <w:rStyle w:val="HideTWBExt"/>
          <w:b w:val="0"/>
        </w:rPr>
        <w:t>&lt;DocAmend&gt;</w:t>
      </w:r>
      <w:r w:rsidRPr="00094D6B">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094D6B">
        <w:t>Article 1 – alinéa 1 – point 4 bis (nouveau)</w:t>
      </w:r>
      <w:r>
        <w:rPr>
          <w:rStyle w:val="HideTWBExt"/>
          <w:b w:val="0"/>
        </w:rPr>
        <w:t>&lt;/Article&gt;</w:t>
      </w:r>
    </w:p>
    <w:p w:rsidR="002F2A46" w:rsidRPr="00A53FF9" w:rsidRDefault="002F2A46" w:rsidP="002F2A46">
      <w:pPr>
        <w:keepNext/>
        <w:rPr>
          <w:noProof/>
        </w:rPr>
      </w:pPr>
      <w:r>
        <w:rPr>
          <w:rStyle w:val="HideTWBExt"/>
        </w:rPr>
        <w:t>&lt;DocAmend2&gt;</w:t>
      </w:r>
      <w:r w:rsidRPr="00094D6B">
        <w:t>Règlement (UE) n° 1308/2013</w:t>
      </w:r>
      <w:r>
        <w:rPr>
          <w:rStyle w:val="HideTWBExt"/>
        </w:rPr>
        <w:t>&lt;/DocAmend2&gt;</w:t>
      </w:r>
    </w:p>
    <w:p w:rsidR="002F2A46" w:rsidRPr="00A53FF9" w:rsidRDefault="002F2A46" w:rsidP="002F2A46">
      <w:pPr>
        <w:rPr>
          <w:noProof/>
        </w:rPr>
      </w:pPr>
      <w:r>
        <w:rPr>
          <w:rStyle w:val="HideTWBExt"/>
        </w:rPr>
        <w:t>&lt;Article2&gt;</w:t>
      </w:r>
      <w:r w:rsidRPr="00094D6B">
        <w:t>Article 64 – paragraphe 2</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094D6B" w:rsidRDefault="002F2A46" w:rsidP="003A3553">
            <w:pPr>
              <w:pStyle w:val="ColumnHeading"/>
              <w:keepNext/>
              <w:rPr>
                <w:noProof/>
              </w:rPr>
            </w:pPr>
            <w:r w:rsidRPr="00094D6B">
              <w:t>Texte en vigueur</w:t>
            </w:r>
          </w:p>
        </w:tc>
        <w:tc>
          <w:tcPr>
            <w:tcW w:w="4876" w:type="dxa"/>
            <w:hideMark/>
          </w:tcPr>
          <w:p w:rsidR="002F2A46" w:rsidRPr="00094D6B" w:rsidRDefault="002F2A46" w:rsidP="003A3553">
            <w:pPr>
              <w:pStyle w:val="ColumnHeading"/>
              <w:keepNext/>
              <w:rPr>
                <w:noProof/>
              </w:rPr>
            </w:pPr>
            <w:r w:rsidRPr="00094D6B">
              <w:t>Amendement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r w:rsidRPr="00094D6B">
              <w:rPr>
                <w:b/>
                <w:i/>
              </w:rPr>
              <w:t>4 bis)</w:t>
            </w:r>
            <w:r w:rsidRPr="00094D6B">
              <w:rPr>
                <w:b/>
                <w:i/>
              </w:rPr>
              <w:tab/>
              <w:t>à l'article 64, la partie introductive du paragraphe 2 est modifiée comme suit:</w:t>
            </w:r>
          </w:p>
        </w:tc>
      </w:tr>
      <w:tr w:rsidR="002F2A46" w:rsidRPr="00A53FF9" w:rsidTr="003A3553">
        <w:trPr>
          <w:jc w:val="center"/>
        </w:trPr>
        <w:tc>
          <w:tcPr>
            <w:tcW w:w="4876" w:type="dxa"/>
            <w:hideMark/>
          </w:tcPr>
          <w:p w:rsidR="002F2A46" w:rsidRPr="00094D6B" w:rsidRDefault="002F2A46" w:rsidP="003A3553">
            <w:pPr>
              <w:pStyle w:val="Normal6"/>
              <w:rPr>
                <w:noProof/>
              </w:rPr>
            </w:pPr>
            <w:r w:rsidRPr="00094D6B">
              <w:t>2. Si, pour une année donnée, la superficie totale couverte par les demandes admissibles visées au paragraphe</w:t>
            </w:r>
            <w:r w:rsidRPr="00094D6B">
              <w:rPr>
                <w:b/>
                <w:i/>
              </w:rPr>
              <w:t> </w:t>
            </w:r>
            <w:r w:rsidRPr="00094D6B">
              <w:t xml:space="preserve">1 est supérieure à la superficie mise à disposition par l'État membre, les autorisations sont octroyées selon une répartition proportionnelle des hectares entre tous les demandeurs sur la base de la superficie pour laquelle ils ont sollicité l'autorisation. L'autorisation peut fixer une superficie minimale et/ou maximale par demandeur et peut également être accordée </w:t>
            </w:r>
            <w:r w:rsidRPr="00094D6B">
              <w:rPr>
                <w:b/>
                <w:i/>
              </w:rPr>
              <w:t>en partie</w:t>
            </w:r>
            <w:r w:rsidRPr="00094D6B">
              <w:t xml:space="preserve"> ou </w:t>
            </w:r>
            <w:r w:rsidRPr="00094D6B">
              <w:rPr>
                <w:b/>
                <w:i/>
              </w:rPr>
              <w:t>totalement</w:t>
            </w:r>
            <w:r w:rsidRPr="00094D6B">
              <w:t xml:space="preserve"> en fonction d'un ou plusieurs des critères de priorité, objectifs et non discriminatoires énoncés ci-après:</w:t>
            </w:r>
          </w:p>
        </w:tc>
        <w:tc>
          <w:tcPr>
            <w:tcW w:w="4876" w:type="dxa"/>
            <w:hideMark/>
          </w:tcPr>
          <w:p w:rsidR="002F2A46" w:rsidRPr="00094D6B" w:rsidRDefault="002F2A46" w:rsidP="003A3553">
            <w:pPr>
              <w:pStyle w:val="Normal6"/>
              <w:rPr>
                <w:noProof/>
                <w:szCs w:val="24"/>
              </w:rPr>
            </w:pPr>
            <w:r w:rsidRPr="00094D6B">
              <w:t>«2. Si, pour une année donnée, la superficie totale couverte par les demandes admissibles visées au paragraphe</w:t>
            </w:r>
            <w:r w:rsidRPr="00094D6B">
              <w:rPr>
                <w:b/>
                <w:i/>
              </w:rPr>
              <w:t xml:space="preserve"> </w:t>
            </w:r>
            <w:r w:rsidRPr="00094D6B">
              <w:t xml:space="preserve">1 est supérieure à la superficie mise à disposition par l'État membre, les autorisations sont octroyées selon une répartition proportionnelle des hectares entre tous les demandeurs sur la base de la superficie pour laquelle ils ont sollicité l'autorisation. </w:t>
            </w:r>
            <w:r w:rsidRPr="00094D6B">
              <w:rPr>
                <w:b/>
                <w:i/>
              </w:rPr>
              <w:t>Toutefois, lorsqu’un petit viticulteur présente une demande d’autorisation pour des plantations sur une superficie inférieure à un hectare, cette autorisation est accordée pour la totalité de la superficie demandée.</w:t>
            </w:r>
            <w:r w:rsidRPr="00094D6B">
              <w:t xml:space="preserve"> L'autorisation peut fixer une superficie minimale et/ou maximale par demandeur et peut également être accordée </w:t>
            </w:r>
            <w:r w:rsidRPr="00094D6B">
              <w:rPr>
                <w:b/>
                <w:i/>
              </w:rPr>
              <w:t>totalement</w:t>
            </w:r>
            <w:r w:rsidRPr="00094D6B">
              <w:t xml:space="preserve"> ou </w:t>
            </w:r>
            <w:r w:rsidRPr="00094D6B">
              <w:rPr>
                <w:b/>
                <w:i/>
              </w:rPr>
              <w:t>en partie</w:t>
            </w:r>
            <w:r w:rsidRPr="00094D6B">
              <w:t xml:space="preserve"> en fonction d'un ou plusieurs des critères de priorité, objectifs et non discriminatoires énoncés ci-après:</w:t>
            </w:r>
            <w:r w:rsidRPr="00094D6B">
              <w:rPr>
                <w:b/>
                <w:i/>
              </w:rPr>
              <w:t>»;</w:t>
            </w:r>
          </w:p>
        </w:tc>
      </w:tr>
      <w:tr w:rsidR="002F2A46" w:rsidRPr="00A53FF9" w:rsidTr="003A3553">
        <w:trPr>
          <w:jc w:val="center"/>
        </w:trPr>
        <w:tc>
          <w:tcPr>
            <w:tcW w:w="4876" w:type="dxa"/>
          </w:tcPr>
          <w:p w:rsidR="002F2A46" w:rsidRPr="00094D6B" w:rsidRDefault="002F2A46" w:rsidP="003A3553">
            <w:pPr>
              <w:pStyle w:val="Normal6"/>
              <w:rPr>
                <w:noProof/>
              </w:rPr>
            </w:pPr>
          </w:p>
        </w:tc>
        <w:tc>
          <w:tcPr>
            <w:tcW w:w="4876" w:type="dxa"/>
            <w:hideMark/>
          </w:tcPr>
          <w:p w:rsidR="002F2A46" w:rsidRPr="00094D6B"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{ES}</w:t>
      </w:r>
      <w:r w:rsidRPr="00CD03D8">
        <w:rPr>
          <w:lang w:val="en-GB"/>
        </w:rPr>
        <w:t>es</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(https://eur-lex.europa.eu/legal-content/FR/TXT/HTML/?uri=CELEX:02013R1308-20180101&amp;from=FR)</w:t>
      </w:r>
    </w:p>
    <w:p w:rsidR="002F2A46" w:rsidRPr="00A53FF9" w:rsidRDefault="002F2A46" w:rsidP="002F2A46">
      <w:pPr>
        <w:pStyle w:val="JustificationTitle"/>
      </w:pPr>
      <w:r>
        <w:rPr>
          <w:rStyle w:val="HideTWBExt"/>
          <w:i w:val="0"/>
        </w:rPr>
        <w:t>&lt;TitreJust&gt;</w:t>
      </w:r>
      <w:r w:rsidRPr="00094D6B">
        <w:t>Justification</w:t>
      </w:r>
      <w:r>
        <w:rPr>
          <w:rStyle w:val="HideTWBExt"/>
          <w:i w:val="0"/>
        </w:rPr>
        <w:t>&lt;/TitreJust&gt;</w:t>
      </w:r>
    </w:p>
    <w:p w:rsidR="002F2A46" w:rsidRPr="00A53FF9" w:rsidRDefault="002F2A46" w:rsidP="002F2A46">
      <w:pPr>
        <w:pStyle w:val="Normal12Italic"/>
      </w:pPr>
      <w:r>
        <w:t>Certains viticulteurs demandent des autorisations pour des superficies très réduites. L’amendement vise à garantir qu’une fois l’autorisation octroyée, cette superficie ne se voie pas réduite, car cela les toucherait de manière disproportionnée.</w:t>
      </w:r>
    </w:p>
    <w:p w:rsidR="002F2A46" w:rsidRPr="00A53FF9" w:rsidRDefault="002F2A46" w:rsidP="002F2A46">
      <w:pPr>
        <w:pStyle w:val="AMNumberTabs"/>
        <w:keepNext/>
        <w:rPr>
          <w:noProof/>
        </w:rPr>
      </w:pPr>
      <w:r>
        <w:rPr>
          <w:rStyle w:val="HideTWBExt"/>
        </w:rPr>
        <w:t>&lt;/Amend&gt;</w:t>
      </w:r>
      <w:r>
        <w:rPr>
          <w:rStyle w:val="HideTWBExt"/>
          <w:b w:val="0"/>
        </w:rPr>
        <w:t>&lt;Amend&gt;</w:t>
      </w:r>
      <w:r w:rsidRPr="00DE5BAE">
        <w:t>Amendement</w:t>
      </w:r>
      <w:r w:rsidRPr="00DE5BAE">
        <w:tab/>
      </w:r>
      <w:r w:rsidRPr="00DE5BAE">
        <w:tab/>
      </w:r>
      <w:r>
        <w:rPr>
          <w:rStyle w:val="HideTWBExt"/>
          <w:b w:val="0"/>
        </w:rPr>
        <w:t>&lt;NumAm&gt;</w:t>
      </w:r>
      <w:r w:rsidRPr="00DE5BAE">
        <w:t>338</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DE5BAE">
        <w:t>Laurenţiu Rebega, Daniel Buda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DE5BAE">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DE5BAE">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DE5BAE">
        <w:t>Règlement (UE) n° 1308/2013</w:t>
      </w:r>
      <w:r>
        <w:rPr>
          <w:rStyle w:val="HideTWBExt"/>
        </w:rPr>
        <w:t>&lt;/DocAmend2&gt;</w:t>
      </w:r>
    </w:p>
    <w:p w:rsidR="002F2A46" w:rsidRPr="00A53FF9" w:rsidRDefault="002F2A46" w:rsidP="002F2A46">
      <w:pPr>
        <w:rPr>
          <w:noProof/>
        </w:rPr>
      </w:pPr>
      <w:r>
        <w:rPr>
          <w:rStyle w:val="HideTWBExt"/>
        </w:rPr>
        <w:t>&lt;Article2&gt;</w:t>
      </w:r>
      <w:r w:rsidRPr="00DE5BAE">
        <w:t>Article 64 – paragraphe 2 – point a</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DE5BAE" w:rsidRDefault="002F2A46" w:rsidP="003A3553">
            <w:pPr>
              <w:pStyle w:val="ColumnHeading"/>
              <w:keepNext/>
              <w:rPr>
                <w:noProof/>
              </w:rPr>
            </w:pPr>
            <w:r w:rsidRPr="00DE5BAE">
              <w:t>Texte en vigueur</w:t>
            </w:r>
          </w:p>
        </w:tc>
        <w:tc>
          <w:tcPr>
            <w:tcW w:w="4876" w:type="dxa"/>
            <w:hideMark/>
          </w:tcPr>
          <w:p w:rsidR="002F2A46" w:rsidRPr="00DE5BAE" w:rsidRDefault="002F2A46" w:rsidP="003A3553">
            <w:pPr>
              <w:pStyle w:val="ColumnHeading"/>
              <w:keepNext/>
              <w:rPr>
                <w:noProof/>
              </w:rPr>
            </w:pPr>
            <w:r w:rsidRPr="00DE5BAE">
              <w:t>Amendement</w:t>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r w:rsidRPr="00DE5BAE">
              <w:rPr>
                <w:b/>
                <w:i/>
              </w:rPr>
              <w:t>(5 bis)</w:t>
            </w:r>
            <w:r w:rsidRPr="00DE5BAE">
              <w:rPr>
                <w:b/>
                <w:i/>
              </w:rPr>
              <w:tab/>
              <w:t>L’article 63, paragraphe 2, point a), est modifié comme suit:</w:t>
            </w:r>
          </w:p>
        </w:tc>
      </w:tr>
      <w:tr w:rsidR="002F2A46" w:rsidRPr="00A53FF9" w:rsidTr="003A3553">
        <w:trPr>
          <w:jc w:val="center"/>
        </w:trPr>
        <w:tc>
          <w:tcPr>
            <w:tcW w:w="4876" w:type="dxa"/>
            <w:hideMark/>
          </w:tcPr>
          <w:p w:rsidR="002F2A46" w:rsidRPr="00DE5BAE" w:rsidRDefault="002F2A46" w:rsidP="003A3553">
            <w:pPr>
              <w:pStyle w:val="Normal6"/>
              <w:rPr>
                <w:noProof/>
              </w:rPr>
            </w:pPr>
            <w:r w:rsidRPr="00DE5BAE">
              <w:t>2. Les États membres peuvent:a) appliquer au niveau national un pourcentage inférieur au pourcentage énoncé au paragraphe 1;</w:t>
            </w:r>
          </w:p>
        </w:tc>
        <w:tc>
          <w:tcPr>
            <w:tcW w:w="4876" w:type="dxa"/>
            <w:hideMark/>
          </w:tcPr>
          <w:p w:rsidR="002F2A46" w:rsidRPr="00DE5BAE" w:rsidRDefault="002F2A46" w:rsidP="003A3553">
            <w:pPr>
              <w:pStyle w:val="Normal6"/>
              <w:rPr>
                <w:noProof/>
                <w:szCs w:val="24"/>
              </w:rPr>
            </w:pPr>
            <w:r w:rsidRPr="00DE5BAE">
              <w:t>«2. Les États membres peuvent:a) appliquer au niveau national un pourcentage inférieur au pourcentage énoncé au paragraphe 1</w:t>
            </w:r>
            <w:r w:rsidRPr="00DE5BAE">
              <w:rPr>
                <w:b/>
                <w:i/>
              </w:rPr>
              <w:t xml:space="preserve"> seulement si la superficie totale plantée en vigne dans l’État membre n’est pas en baisse</w:t>
            </w:r>
            <w:r w:rsidRPr="00DE5BAE">
              <w:t>;</w:t>
            </w:r>
            <w:r w:rsidRPr="00DE5BAE">
              <w:rPr>
                <w:b/>
                <w:i/>
              </w:rPr>
              <w:t>»</w:t>
            </w:r>
            <w:r w:rsidRPr="00DE5BAE">
              <w:rPr>
                <w:b/>
                <w:i/>
              </w:rPr>
              <w:br/>
            </w:r>
          </w:p>
        </w:tc>
      </w:tr>
      <w:tr w:rsidR="002F2A46" w:rsidRPr="00A53FF9" w:rsidTr="003A3553">
        <w:trPr>
          <w:jc w:val="center"/>
        </w:trPr>
        <w:tc>
          <w:tcPr>
            <w:tcW w:w="4876" w:type="dxa"/>
          </w:tcPr>
          <w:p w:rsidR="002F2A46" w:rsidRPr="00DE5BAE" w:rsidRDefault="002F2A46" w:rsidP="003A3553">
            <w:pPr>
              <w:pStyle w:val="Normal6"/>
              <w:rPr>
                <w:noProof/>
              </w:rPr>
            </w:pPr>
          </w:p>
        </w:tc>
        <w:tc>
          <w:tcPr>
            <w:tcW w:w="4876" w:type="dxa"/>
            <w:hideMark/>
          </w:tcPr>
          <w:p w:rsidR="002F2A46" w:rsidRPr="00DE5BAE" w:rsidRDefault="002F2A46" w:rsidP="003A3553">
            <w:pPr>
              <w:pStyle w:val="Normal6"/>
              <w:rPr>
                <w:noProof/>
                <w:szCs w:val="24"/>
              </w:rPr>
            </w:pPr>
          </w:p>
        </w:tc>
      </w:tr>
    </w:tbl>
    <w:p w:rsidR="002F2A46" w:rsidRPr="00CD03D8" w:rsidRDefault="002F2A46" w:rsidP="002F2A46">
      <w:pPr>
        <w:pStyle w:val="Olang"/>
        <w:rPr>
          <w:szCs w:val="24"/>
          <w:lang w:val="en-GB"/>
        </w:rPr>
      </w:pPr>
      <w:r w:rsidRPr="00CD03D8">
        <w:rPr>
          <w:lang w:val="en-GB"/>
        </w:rPr>
        <w:t xml:space="preserve">Or. </w:t>
      </w:r>
      <w:r w:rsidRPr="00CD03D8">
        <w:rPr>
          <w:rStyle w:val="HideTWBExt"/>
          <w:lang w:val="en-GB"/>
        </w:rPr>
        <w:t>&lt;Original&gt;</w:t>
      </w:r>
      <w:r w:rsidRPr="00CD03D8">
        <w:rPr>
          <w:rStyle w:val="HideTWBInt"/>
          <w:lang w:val="en-GB"/>
        </w:rPr>
        <w:t>{RO}</w:t>
      </w:r>
      <w:r w:rsidRPr="00CD03D8">
        <w:rPr>
          <w:lang w:val="en-GB"/>
        </w:rPr>
        <w:t>ro</w:t>
      </w:r>
      <w:r w:rsidRPr="00CD03D8">
        <w:rPr>
          <w:rStyle w:val="HideTWBExt"/>
          <w:lang w:val="en-GB"/>
        </w:rPr>
        <w:t>&lt;/Original&gt;</w:t>
      </w:r>
    </w:p>
    <w:p w:rsidR="002F2A46" w:rsidRPr="00CD03D8" w:rsidRDefault="002F2A46" w:rsidP="002F2A46">
      <w:pPr>
        <w:pStyle w:val="CrossRef"/>
        <w:rPr>
          <w:noProof/>
          <w:lang w:val="en-GB"/>
        </w:rPr>
      </w:pPr>
      <w:r w:rsidRPr="00CD03D8">
        <w:rPr>
          <w:lang w:val="en-GB"/>
        </w:rPr>
        <w:t>(https://eur-lex.europa.eu/legal-content/FR/TXT/HTML/?uri=CELEX:32013R1308&amp;from=fr)</w:t>
      </w:r>
    </w:p>
    <w:p w:rsidR="002F2A46" w:rsidRPr="00A53FF9" w:rsidRDefault="002F2A46" w:rsidP="002F2A46">
      <w:pPr>
        <w:pStyle w:val="AMNumberTabs"/>
        <w:keepNext/>
        <w:rPr>
          <w:noProof/>
        </w:rPr>
      </w:pPr>
      <w:r>
        <w:rPr>
          <w:rStyle w:val="HideTWBExt"/>
        </w:rPr>
        <w:t>&lt;/Amend&gt;</w:t>
      </w:r>
      <w:r>
        <w:rPr>
          <w:rStyle w:val="HideTWBExt"/>
          <w:b w:val="0"/>
        </w:rPr>
        <w:t>&lt;Amend&gt;</w:t>
      </w:r>
      <w:r w:rsidRPr="00393A53">
        <w:t>Amendement</w:t>
      </w:r>
      <w:r w:rsidRPr="00393A53">
        <w:tab/>
      </w:r>
      <w:r w:rsidRPr="00393A53">
        <w:tab/>
      </w:r>
      <w:r>
        <w:rPr>
          <w:rStyle w:val="HideTWBExt"/>
          <w:b w:val="0"/>
        </w:rPr>
        <w:t>&lt;NumAm&gt;</w:t>
      </w:r>
      <w:r w:rsidRPr="00393A53">
        <w:t>339</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Beata Gosiewska</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77</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r w:rsidRPr="00393A53">
              <w:rPr>
                <w:b/>
                <w:i/>
              </w:rPr>
              <w:t>(5 bis)</w:t>
            </w:r>
            <w:r w:rsidRPr="00393A53">
              <w:rPr>
                <w:b/>
                <w:i/>
              </w:rPr>
              <w:tab/>
              <w:t>l’article 77 est 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393A53">
        <w:t>Amendement</w:t>
      </w:r>
      <w:r w:rsidRPr="00393A53">
        <w:tab/>
      </w:r>
      <w:r w:rsidRPr="00393A53">
        <w:tab/>
      </w:r>
      <w:r>
        <w:rPr>
          <w:rStyle w:val="HideTWBExt"/>
          <w:b w:val="0"/>
        </w:rPr>
        <w:t>&lt;NumAm&gt;</w:t>
      </w:r>
      <w:r w:rsidRPr="00393A53">
        <w:t>340</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393A53">
        <w:t>Stanisław Ożóg, Zbigniew Kuźmiuk</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393A5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393A53">
        <w:t>Article 1 – alinéa 1 – point 5 bis (nouveau)</w:t>
      </w:r>
      <w:r>
        <w:rPr>
          <w:rStyle w:val="HideTWBExt"/>
          <w:b w:val="0"/>
        </w:rPr>
        <w:t>&lt;/Article&gt;</w:t>
      </w:r>
    </w:p>
    <w:p w:rsidR="002F2A46" w:rsidRPr="00A53FF9" w:rsidRDefault="002F2A46" w:rsidP="002F2A46">
      <w:pPr>
        <w:keepNext/>
        <w:rPr>
          <w:noProof/>
        </w:rPr>
      </w:pPr>
      <w:r>
        <w:rPr>
          <w:rStyle w:val="HideTWBExt"/>
        </w:rPr>
        <w:t>&lt;DocAmend2&gt;</w:t>
      </w:r>
      <w:r w:rsidRPr="00393A53">
        <w:t>Règlement (UE) n° 1308/2013</w:t>
      </w:r>
      <w:r>
        <w:rPr>
          <w:rStyle w:val="HideTWBExt"/>
        </w:rPr>
        <w:t>&lt;/DocAmend2&gt;</w:t>
      </w:r>
    </w:p>
    <w:p w:rsidR="002F2A46" w:rsidRPr="00A53FF9" w:rsidRDefault="002F2A46" w:rsidP="002F2A46">
      <w:pPr>
        <w:rPr>
          <w:noProof/>
        </w:rPr>
      </w:pPr>
      <w:r>
        <w:rPr>
          <w:rStyle w:val="HideTWBExt"/>
        </w:rPr>
        <w:t>&lt;Article2&gt;</w:t>
      </w:r>
      <w:r w:rsidRPr="00393A53">
        <w:t>Article 77</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393A53" w:rsidRDefault="002F2A46" w:rsidP="003A3553">
            <w:pPr>
              <w:pStyle w:val="ColumnHeading"/>
              <w:keepNext/>
              <w:rPr>
                <w:noProof/>
              </w:rPr>
            </w:pPr>
            <w:r w:rsidRPr="00393A53">
              <w:t>Texte proposé par la Commission</w:t>
            </w:r>
          </w:p>
        </w:tc>
        <w:tc>
          <w:tcPr>
            <w:tcW w:w="4876" w:type="dxa"/>
            <w:hideMark/>
          </w:tcPr>
          <w:p w:rsidR="002F2A46" w:rsidRPr="00393A53" w:rsidRDefault="002F2A46" w:rsidP="003A3553">
            <w:pPr>
              <w:pStyle w:val="ColumnHeading"/>
              <w:keepNext/>
              <w:rPr>
                <w:noProof/>
              </w:rPr>
            </w:pPr>
            <w:r w:rsidRPr="00393A53">
              <w:t>Amendement</w:t>
            </w:r>
          </w:p>
        </w:tc>
      </w:tr>
      <w:tr w:rsidR="002F2A46" w:rsidRPr="00A53FF9" w:rsidTr="003A3553">
        <w:trPr>
          <w:jc w:val="center"/>
        </w:trPr>
        <w:tc>
          <w:tcPr>
            <w:tcW w:w="4876" w:type="dxa"/>
          </w:tcPr>
          <w:p w:rsidR="002F2A46" w:rsidRPr="00393A53" w:rsidRDefault="002F2A46" w:rsidP="003A3553">
            <w:pPr>
              <w:pStyle w:val="Normal6"/>
              <w:rPr>
                <w:noProof/>
              </w:rPr>
            </w:pPr>
          </w:p>
        </w:tc>
        <w:tc>
          <w:tcPr>
            <w:tcW w:w="4876" w:type="dxa"/>
            <w:hideMark/>
          </w:tcPr>
          <w:p w:rsidR="002F2A46" w:rsidRPr="00393A53" w:rsidRDefault="002F2A46" w:rsidP="003A3553">
            <w:pPr>
              <w:pStyle w:val="Normal6"/>
              <w:rPr>
                <w:noProof/>
                <w:szCs w:val="24"/>
              </w:rPr>
            </w:pPr>
            <w:r w:rsidRPr="00393A53">
              <w:rPr>
                <w:b/>
                <w:i/>
              </w:rPr>
              <w:t>(5 bis)</w:t>
            </w:r>
            <w:r w:rsidRPr="00393A53">
              <w:rPr>
                <w:b/>
                <w:i/>
              </w:rPr>
              <w:tab/>
              <w:t>l’article 77 est supprimé;</w:t>
            </w:r>
          </w:p>
        </w:tc>
      </w:tr>
    </w:tbl>
    <w:p w:rsidR="002F2A46" w:rsidRPr="00A53FF9" w:rsidRDefault="002F2A46" w:rsidP="002F2A46">
      <w:pPr>
        <w:pStyle w:val="Olang"/>
        <w:rPr>
          <w:szCs w:val="24"/>
        </w:rPr>
      </w:pPr>
      <w:r w:rsidRPr="00393A53">
        <w:t xml:space="preserve">Or. </w:t>
      </w:r>
      <w:r w:rsidRPr="004C29F9">
        <w:rPr>
          <w:rStyle w:val="HideTWBExt"/>
        </w:rPr>
        <w:t>&lt;Original&gt;</w:t>
      </w:r>
      <w:r w:rsidRPr="004C29F9">
        <w:rPr>
          <w:rStyle w:val="HideTWBInt"/>
        </w:rPr>
        <w:t>{PL}</w:t>
      </w:r>
      <w:r w:rsidRPr="00393A53">
        <w:t>pl</w:t>
      </w:r>
      <w:r w:rsidRPr="004C29F9">
        <w:rPr>
          <w:rStyle w:val="HideTWBExt"/>
        </w:rPr>
        <w:t>&lt;/Original&gt;</w:t>
      </w:r>
    </w:p>
    <w:p w:rsidR="002F2A46" w:rsidRPr="00A53FF9" w:rsidRDefault="002F2A46" w:rsidP="002F2A46">
      <w:pPr>
        <w:pStyle w:val="JustificationTitle"/>
      </w:pPr>
      <w:r>
        <w:rPr>
          <w:rStyle w:val="HideTWBExt"/>
          <w:i w:val="0"/>
        </w:rPr>
        <w:t>&lt;TitreJust&gt;</w:t>
      </w:r>
      <w:r w:rsidRPr="00393A53">
        <w:t>Justification</w:t>
      </w:r>
      <w:r>
        <w:rPr>
          <w:rStyle w:val="HideTWBExt"/>
          <w:i w:val="0"/>
        </w:rPr>
        <w:t>&lt;/TitreJust&gt;</w:t>
      </w:r>
    </w:p>
    <w:p w:rsidR="002F2A46" w:rsidRPr="00C02763" w:rsidRDefault="002F2A46" w:rsidP="002F2A46">
      <w:pPr>
        <w:pStyle w:val="Normal12Italic"/>
        <w:rPr>
          <w:lang w:val="pl-PL"/>
        </w:rPr>
      </w:pPr>
      <w:r w:rsidRPr="00C02763">
        <w:rPr>
          <w:lang w:val="pl-PL"/>
        </w:rPr>
        <w:t>Przepisy w sprawie certyfikacji chmielu są zbędne dla funkcjonowania tego sektora. Proces certyfikacji chmielu jest uciążliwy i kosztowny dla wszystkich podmiotów biorących w nim udział. Przepisy dotyczące certyfikacji, jako środka w zakresie regulacji działania rynku chmielu  w rozporządzeniu nr 1308/2013, zostały umieszczone w części odnoszącej się do norm handlowych. Zgodnie z przepisami certyfikacja jest to 100% kontrola parametrów jakościowych (wilgotnośći zawartość zanieczyszczeń organicznych (pochodzących z chmielu)) na etapie wprowadzania do obrotu. Certyfikacja stanowi odstępstwo od ogólnych przepisów regulujących zagadnienia dotyczące jakości na rynkach rolnych. Jest to procedura nieznajdująca uzasadnienia np. przestrzeganiem przepisów w zakresie bezpieczeństwa żywności, czy przepisów podatkowych (chmiel nie jest towarem akcyzowym).</w:t>
      </w:r>
    </w:p>
    <w:p w:rsidR="002F2A46" w:rsidRPr="00A53FF9" w:rsidRDefault="002F2A46" w:rsidP="002F2A46">
      <w:pPr>
        <w:pStyle w:val="AMNumberTabs"/>
        <w:keepNext/>
      </w:pPr>
      <w:r w:rsidRPr="00CD03D8">
        <w:rPr>
          <w:rStyle w:val="HideTWBExt"/>
        </w:rPr>
        <w:t>&lt;/Amend&gt;</w:t>
      </w:r>
      <w:r w:rsidRPr="00A53FF9">
        <w:rPr>
          <w:rStyle w:val="HideTWBExt"/>
          <w:b w:val="0"/>
        </w:rPr>
        <w:t>&lt;Amend&gt;</w:t>
      </w:r>
      <w:r w:rsidRPr="00A53FF9">
        <w:t>Amendement</w:t>
      </w:r>
      <w:r w:rsidRPr="00A53FF9">
        <w:tab/>
      </w:r>
      <w:r w:rsidRPr="00A53FF9">
        <w:tab/>
      </w:r>
      <w:r w:rsidRPr="00A53FF9">
        <w:rPr>
          <w:rStyle w:val="HideTWBExt"/>
          <w:b w:val="0"/>
        </w:rPr>
        <w:t>&lt;NumAm&gt;</w:t>
      </w:r>
      <w:r w:rsidRPr="00A53FF9">
        <w:t>341</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quinquies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69 – alinéa 1 – point e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quinquies)</w:t>
            </w:r>
            <w:r w:rsidRPr="00A53FF9">
              <w:rPr>
                <w:b/>
                <w:i/>
              </w:rPr>
              <w:tab/>
              <w:t>A l'article 69 le Paragraphe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e bis) les critères relatifs à la conservation des ressources génétiques de la vigne.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La Commission doit être habilitée à définir, par acte délégué, les critères relatifs à la conservation des ressources génétiques de la vigne.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342</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quinquies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bis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quinquies)</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bis) riz;</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343</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octies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75 – paragraphe 1 – point i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octies)</w:t>
            </w:r>
            <w:r w:rsidRPr="00A53FF9">
              <w:rPr>
                <w:b/>
                <w:i/>
              </w:rPr>
              <w:tab/>
              <w:t>A l'article 75 paragraphe 1 le point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i bis) miel</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Actuellement le miel ne figure pas dans la liste des secteurs pour lesquels peuvent être fixées des normes de commercialisation. Cela aiderait notamment à lutter contre l'importation de miels faisant l'objet de fraude.</w:t>
      </w:r>
    </w:p>
    <w:p w:rsidR="002F2A46" w:rsidRPr="00A53FF9" w:rsidRDefault="002F2A46" w:rsidP="002F2A46">
      <w:r w:rsidRPr="00A53FF9">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344</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5 sexies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ter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sexies)</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ter) miel;</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rPr>
          <w:noProof/>
        </w:rPr>
      </w:pPr>
      <w:r>
        <w:rPr>
          <w:rStyle w:val="HideTWBExt"/>
        </w:rPr>
        <w:t>&lt;/Amend&gt;</w:t>
      </w:r>
    </w:p>
    <w:p w:rsidR="002F2A46" w:rsidRPr="00A53FF9" w:rsidRDefault="002F2A46" w:rsidP="002F2A46">
      <w:pPr>
        <w:pStyle w:val="AMNumberTabs"/>
        <w:keepNext/>
        <w:rPr>
          <w:noProof/>
        </w:rPr>
      </w:pPr>
      <w:r>
        <w:rPr>
          <w:rStyle w:val="HideTWBExt"/>
          <w:b w:val="0"/>
        </w:rPr>
        <w:t>&lt;Amend&gt;</w:t>
      </w:r>
      <w:r w:rsidRPr="00421CE3">
        <w:t>Amendement</w:t>
      </w:r>
      <w:r w:rsidRPr="00421CE3">
        <w:tab/>
      </w:r>
      <w:r w:rsidRPr="00421CE3">
        <w:tab/>
      </w:r>
      <w:r>
        <w:rPr>
          <w:rStyle w:val="HideTWBExt"/>
          <w:b w:val="0"/>
        </w:rPr>
        <w:t>&lt;NumAm&gt;</w:t>
      </w:r>
      <w:r w:rsidRPr="00421CE3">
        <w:t>345</w:t>
      </w:r>
      <w:r>
        <w:rPr>
          <w:rStyle w:val="HideTWBExt"/>
          <w:b w:val="0"/>
        </w:rPr>
        <w:t>&lt;/NumAm&gt;</w:t>
      </w:r>
    </w:p>
    <w:p w:rsidR="002F2A46" w:rsidRPr="00A53FF9" w:rsidRDefault="002F2A46" w:rsidP="002F2A46">
      <w:pPr>
        <w:pStyle w:val="NormalBold"/>
        <w:rPr>
          <w:noProof/>
        </w:rPr>
      </w:pPr>
      <w:r>
        <w:rPr>
          <w:rStyle w:val="HideTWBExt"/>
          <w:b w:val="0"/>
        </w:rPr>
        <w:t>&lt;RepeatBlock-By&gt;&lt;Members&gt;</w:t>
      </w:r>
      <w:r w:rsidRPr="00421CE3">
        <w:t>Paolo De Castro</w:t>
      </w:r>
      <w:r>
        <w:rPr>
          <w:rStyle w:val="HideTWBExt"/>
          <w:b w:val="0"/>
        </w:rPr>
        <w:t>&lt;/Members&gt;</w:t>
      </w:r>
    </w:p>
    <w:p w:rsidR="002F2A46" w:rsidRPr="00A53FF9" w:rsidRDefault="002F2A46" w:rsidP="002F2A46">
      <w:pPr>
        <w:rPr>
          <w:noProof/>
        </w:rPr>
      </w:pPr>
      <w:r>
        <w:rPr>
          <w:rStyle w:val="HideTWBExt"/>
        </w:rPr>
        <w:t>&lt;/RepeatBlock-By&gt;</w:t>
      </w:r>
    </w:p>
    <w:p w:rsidR="002F2A46" w:rsidRPr="00A53FF9" w:rsidRDefault="002F2A46" w:rsidP="002F2A46">
      <w:pPr>
        <w:pStyle w:val="NormalBold"/>
        <w:keepNext/>
        <w:rPr>
          <w:noProof/>
        </w:rPr>
      </w:pPr>
      <w:r>
        <w:rPr>
          <w:rStyle w:val="HideTWBExt"/>
          <w:b w:val="0"/>
        </w:rPr>
        <w:t>&lt;DocAmend&gt;</w:t>
      </w:r>
      <w:r w:rsidRPr="00421CE3">
        <w:t>Proposition de règlement</w:t>
      </w:r>
      <w:r>
        <w:rPr>
          <w:rStyle w:val="HideTWBExt"/>
          <w:b w:val="0"/>
        </w:rPr>
        <w:t>&lt;/DocAmend&gt;</w:t>
      </w:r>
    </w:p>
    <w:p w:rsidR="002F2A46" w:rsidRPr="00A53FF9" w:rsidRDefault="002F2A46" w:rsidP="002F2A46">
      <w:pPr>
        <w:pStyle w:val="NormalBold"/>
        <w:rPr>
          <w:noProof/>
        </w:rPr>
      </w:pPr>
      <w:r>
        <w:rPr>
          <w:rStyle w:val="HideTWBExt"/>
          <w:b w:val="0"/>
        </w:rPr>
        <w:t>&lt;Article&gt;</w:t>
      </w:r>
      <w:r w:rsidRPr="00421CE3">
        <w:t>Article 1 – alinéa 1 – point 1 septies (nouveau)</w:t>
      </w:r>
      <w:r>
        <w:rPr>
          <w:rStyle w:val="HideTWBExt"/>
          <w:b w:val="0"/>
        </w:rPr>
        <w:t>&lt;/Article&gt;</w:t>
      </w:r>
    </w:p>
    <w:p w:rsidR="002F2A46" w:rsidRPr="00A53FF9" w:rsidRDefault="002F2A46" w:rsidP="002F2A46">
      <w:pPr>
        <w:keepNext/>
        <w:rPr>
          <w:noProof/>
        </w:rPr>
      </w:pPr>
      <w:r>
        <w:rPr>
          <w:rStyle w:val="HideTWBExt"/>
        </w:rPr>
        <w:t>&lt;DocAmend2&gt;</w:t>
      </w:r>
      <w:r w:rsidRPr="00421CE3">
        <w:t>Règlement (UE) n° 1308/2013</w:t>
      </w:r>
      <w:r>
        <w:rPr>
          <w:rStyle w:val="HideTWBExt"/>
        </w:rPr>
        <w:t>&lt;/DocAmend2&gt;</w:t>
      </w:r>
    </w:p>
    <w:p w:rsidR="002F2A46" w:rsidRPr="00A53FF9" w:rsidRDefault="002F2A46" w:rsidP="002F2A46">
      <w:pPr>
        <w:rPr>
          <w:noProof/>
        </w:rPr>
      </w:pPr>
      <w:r>
        <w:rPr>
          <w:rStyle w:val="HideTWBExt"/>
        </w:rPr>
        <w:t>&lt;Article2&gt;</w:t>
      </w:r>
      <w:r w:rsidRPr="00421CE3">
        <w:t>Article 75 – paragraphe 1 – point i quater (nouveau)</w:t>
      </w:r>
      <w:r>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rPr>
                <w:noProof/>
              </w:rPr>
            </w:pPr>
          </w:p>
        </w:tc>
      </w:tr>
      <w:tr w:rsidR="002F2A46" w:rsidRPr="00A53FF9" w:rsidTr="003A3553">
        <w:trPr>
          <w:jc w:val="center"/>
        </w:trPr>
        <w:tc>
          <w:tcPr>
            <w:tcW w:w="4876" w:type="dxa"/>
            <w:hideMark/>
          </w:tcPr>
          <w:p w:rsidR="002F2A46" w:rsidRPr="00421CE3" w:rsidRDefault="002F2A46" w:rsidP="003A3553">
            <w:pPr>
              <w:pStyle w:val="ColumnHeading"/>
              <w:keepNext/>
              <w:rPr>
                <w:noProof/>
              </w:rPr>
            </w:pPr>
            <w:r w:rsidRPr="00421CE3">
              <w:t>Texte proposé par la Commission</w:t>
            </w:r>
          </w:p>
        </w:tc>
        <w:tc>
          <w:tcPr>
            <w:tcW w:w="4876" w:type="dxa"/>
            <w:hideMark/>
          </w:tcPr>
          <w:p w:rsidR="002F2A46" w:rsidRPr="00421CE3" w:rsidRDefault="002F2A46" w:rsidP="003A3553">
            <w:pPr>
              <w:pStyle w:val="ColumnHeading"/>
              <w:keepNext/>
              <w:rPr>
                <w:noProof/>
              </w:rPr>
            </w:pPr>
            <w:r w:rsidRPr="00421CE3">
              <w:t>Amendement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r w:rsidRPr="00421CE3">
              <w:rPr>
                <w:b/>
                <w:i/>
              </w:rPr>
              <w:t>(5 septies)</w:t>
            </w:r>
            <w:r w:rsidRPr="00421CE3">
              <w:rPr>
                <w:b/>
                <w:i/>
              </w:rPr>
              <w:tab/>
              <w:t>à l’article 75, paragraphe 1, le point suivant est ajouté:</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CD03D8" w:rsidP="003A3553">
            <w:pPr>
              <w:pStyle w:val="Normal6"/>
              <w:rPr>
                <w:noProof/>
                <w:szCs w:val="24"/>
              </w:rPr>
            </w:pPr>
            <w:r w:rsidRPr="00421CE3">
              <w:rPr>
                <w:b/>
                <w:i/>
              </w:rPr>
              <w:t>«</w:t>
            </w:r>
            <w:r w:rsidR="002F2A46" w:rsidRPr="00421CE3">
              <w:rPr>
                <w:b/>
                <w:i/>
              </w:rPr>
              <w:t>i quater) produits de l’apiculture.</w:t>
            </w:r>
            <w:r w:rsidRPr="00421CE3">
              <w:rPr>
                <w:b/>
                <w:i/>
              </w:rPr>
              <w:t>»;</w:t>
            </w:r>
          </w:p>
        </w:tc>
      </w:tr>
      <w:tr w:rsidR="002F2A46" w:rsidRPr="00A53FF9" w:rsidTr="003A3553">
        <w:trPr>
          <w:jc w:val="center"/>
        </w:trPr>
        <w:tc>
          <w:tcPr>
            <w:tcW w:w="4876" w:type="dxa"/>
          </w:tcPr>
          <w:p w:rsidR="002F2A46" w:rsidRPr="00421CE3" w:rsidRDefault="002F2A46" w:rsidP="003A3553">
            <w:pPr>
              <w:pStyle w:val="Normal6"/>
              <w:rPr>
                <w:noProof/>
              </w:rPr>
            </w:pPr>
          </w:p>
        </w:tc>
        <w:tc>
          <w:tcPr>
            <w:tcW w:w="4876" w:type="dxa"/>
            <w:hideMark/>
          </w:tcPr>
          <w:p w:rsidR="002F2A46" w:rsidRPr="00421CE3" w:rsidRDefault="002F2A46" w:rsidP="003A3553">
            <w:pPr>
              <w:pStyle w:val="Normal6"/>
              <w:rPr>
                <w:noProof/>
                <w:szCs w:val="24"/>
              </w:rPr>
            </w:pPr>
          </w:p>
        </w:tc>
      </w:tr>
    </w:tbl>
    <w:p w:rsidR="002F2A46" w:rsidRPr="00A53FF9" w:rsidRDefault="002F2A46" w:rsidP="002F2A46">
      <w:pPr>
        <w:pStyle w:val="Olang"/>
        <w:rPr>
          <w:szCs w:val="24"/>
        </w:rPr>
      </w:pPr>
      <w:r w:rsidRPr="00421CE3">
        <w:t xml:space="preserve">Or. </w:t>
      </w:r>
      <w:r w:rsidRPr="001D75A9">
        <w:rPr>
          <w:rStyle w:val="HideTWBExt"/>
        </w:rPr>
        <w:t>&lt;Original&gt;</w:t>
      </w:r>
      <w:r w:rsidRPr="001D75A9">
        <w:rPr>
          <w:rStyle w:val="HideTWBInt"/>
        </w:rPr>
        <w:t>{EN}</w:t>
      </w:r>
      <w:r w:rsidRPr="00421CE3">
        <w:t>en</w:t>
      </w:r>
      <w:r w:rsidRPr="001D75A9">
        <w:rPr>
          <w:rStyle w:val="HideTWBExt"/>
        </w:rPr>
        <w:t>&lt;/Original&gt;</w:t>
      </w:r>
    </w:p>
    <w:p w:rsidR="002F2A46" w:rsidRPr="00A53FF9" w:rsidRDefault="002F2A46" w:rsidP="002F2A46">
      <w:pPr>
        <w:pStyle w:val="AMNumberTabs"/>
        <w:keepNext/>
      </w:pPr>
      <w:r>
        <w:rPr>
          <w:rStyle w:val="HideTWBExt"/>
        </w:rPr>
        <w:t>&lt;/Amend&gt;</w:t>
      </w:r>
      <w:r w:rsidRPr="00A53FF9">
        <w:rPr>
          <w:rStyle w:val="HideTWBExt"/>
          <w:b w:val="0"/>
        </w:rPr>
        <w:t>&lt;Amend&gt;</w:t>
      </w:r>
      <w:r w:rsidRPr="00A53FF9">
        <w:t>Amendement</w:t>
      </w:r>
      <w:r w:rsidRPr="00A53FF9">
        <w:tab/>
      </w:r>
      <w:r w:rsidRPr="00A53FF9">
        <w:tab/>
      </w:r>
      <w:r w:rsidRPr="00A53FF9">
        <w:rPr>
          <w:rStyle w:val="HideTWBExt"/>
          <w:b w:val="0"/>
        </w:rPr>
        <w:t>&lt;NumAm&gt;</w:t>
      </w:r>
      <w:r w:rsidRPr="00A53FF9">
        <w:t>346</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nonies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75 – paragraphe 1 – point i ter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nonies)</w:t>
            </w:r>
            <w:r w:rsidRPr="00A53FF9">
              <w:rPr>
                <w:b/>
                <w:i/>
              </w:rPr>
              <w:tab/>
              <w:t>A l'article 75 paragraphe 1 le point suivant est ajouté: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i ter) les produits de la ruche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Actuellement les produits de la ruche ne figurent pas dans la liste des secteurs pour lesquels peuvent être fixées des normes de commercialisation.</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347</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sexies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75 – paragraphe 2</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sexies)</w:t>
            </w:r>
            <w:r w:rsidRPr="00A53FF9">
              <w:rPr>
                <w:b/>
                <w:i/>
              </w:rPr>
              <w:tab/>
              <w:t>L'article 75 paragraphe 2 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rPr>
                <w:rFonts w:ascii="MS Gothic" w:hAnsi="MS Gothic"/>
              </w:rPr>
              <w:t xml:space="preserve">　　　</w:t>
            </w:r>
            <w:r w:rsidRPr="00A53FF9">
              <w:t>2. Afin de répondre aux attentes des consommateurs et d'améliorer les conditions économiques de production et de commercialisation des produits agricoles énumérés aux paragraphes 1 et 4 du présent article, ainsi que leur qualité, la Commission est habilitée à adopter des actes délégués en conformité avec l'article 227 en ce qui concerne les normes de commercialisation par secteurs ou produits, à tous les stades de la commercialisation, ainsi que des dérogations et exemptions à l'application de ces normes, afin de permettre l'adaptation aux conditions du marché en évolution constante, aux demandes nouvelles des consommateurs, aux évolutions des normes internationales concernées et afin d'éviter de créer des obstacles à l'innovation.</w:t>
            </w:r>
          </w:p>
        </w:tc>
        <w:tc>
          <w:tcPr>
            <w:tcW w:w="4876" w:type="dxa"/>
            <w:hideMark/>
          </w:tcPr>
          <w:p w:rsidR="002F2A46" w:rsidRPr="00A53FF9" w:rsidRDefault="002F2A46" w:rsidP="00CD03D8">
            <w:pPr>
              <w:pStyle w:val="Normal6"/>
              <w:rPr>
                <w:szCs w:val="24"/>
              </w:rPr>
            </w:pPr>
            <w:r w:rsidRPr="00A53FF9">
              <w:rPr>
                <w:rFonts w:ascii="MS Gothic" w:hAnsi="MS Gothic"/>
              </w:rPr>
              <w:t xml:space="preserve">　　　</w:t>
            </w:r>
            <w:r w:rsidR="00CD03D8" w:rsidRPr="00A53FF9">
              <w:t>«</w:t>
            </w:r>
            <w:r w:rsidRPr="00A53FF9">
              <w:t>2. Afin de répondre aux attentes des consommateurs et d'améliorer les conditions économiques de production et de commercialisation des produits agricoles énumérés aux paragraphes 1 et 4 du présent article, ainsi que leur qualité, la Commission est habilitée à adopter des actes délégués en conformité avec l'article 227 en ce qui concerne les normes de commercialisation par secteurs ou produits, à tous les stades de la commercialisation, ainsi que des dérogations et exemptions à l'application de ces normes, afin de permettre l'adaptation aux conditions du marché en évolution constante, aux demandes nouvelles des consommateurs, aux évolutions des normes internationales concernées et afin d'éviter de créer des obstacles à l'innovation</w:t>
            </w:r>
            <w:r w:rsidRPr="00A53FF9">
              <w:rPr>
                <w:b/>
                <w:i/>
              </w:rPr>
              <w:t>, de même que pour assurer la conservation et l’utilisation durable des ressources génétiques animales et végétales pour l’alimentation et l’agriculture</w:t>
            </w:r>
            <w:r w:rsidRPr="00A53FF9">
              <w:t>.</w:t>
            </w:r>
            <w:r w:rsidR="00CD03D8" w:rsidRPr="00A53FF9">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La Commission doit être habilitée à adopter des actes délégués en ce qui concerne les normes de commercialisation par secteurs ou produits, ainsi que des dérogations et exemptions à l'application de ces normes, afin d’assurer, aux côtés des objectifs déjà définis par l’article 75, la conservation et l’utilisation durable des ressources génétiques animales et végétales pour l’alimentation et l’agriculture</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348</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septies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78 – paragraphe 2</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en vigueur</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septies)</w:t>
            </w:r>
            <w:r w:rsidRPr="00A53FF9">
              <w:rPr>
                <w:b/>
                <w:i/>
              </w:rPr>
              <w:tab/>
              <w:t>L'article 78 paragraphe</w:t>
            </w:r>
            <w:r w:rsidRPr="00A53FF9">
              <w:t xml:space="preserve"> 2 </w:t>
            </w:r>
            <w:r w:rsidRPr="00A53FF9">
              <w:rPr>
                <w:b/>
                <w:i/>
              </w:rPr>
              <w:t>est modifié comme suit:</w:t>
            </w:r>
          </w:p>
        </w:tc>
      </w:tr>
      <w:tr w:rsidR="002F2A46" w:rsidRPr="00A53FF9" w:rsidTr="003A3553">
        <w:trPr>
          <w:jc w:val="center"/>
        </w:trPr>
        <w:tc>
          <w:tcPr>
            <w:tcW w:w="4876" w:type="dxa"/>
            <w:hideMark/>
          </w:tcPr>
          <w:p w:rsidR="002F2A46" w:rsidRPr="00A53FF9" w:rsidRDefault="002F2A46" w:rsidP="003A3553">
            <w:pPr>
              <w:pStyle w:val="Normal6"/>
            </w:pPr>
            <w:r w:rsidRPr="00A53FF9">
              <w:t>2. Les définitions, dénominations ou dénominations de vente prévues à l'annexe VII ne peuvent être utilisées dans l'Union que pour la commercialisation d'un produit conforme aux exigences correspondantes définies à ladite annexe.</w:t>
            </w:r>
          </w:p>
        </w:tc>
        <w:tc>
          <w:tcPr>
            <w:tcW w:w="4876" w:type="dxa"/>
            <w:hideMark/>
          </w:tcPr>
          <w:p w:rsidR="002F2A46" w:rsidRPr="00A53FF9" w:rsidRDefault="002F2A46" w:rsidP="003A3553">
            <w:pPr>
              <w:pStyle w:val="Normal6"/>
              <w:rPr>
                <w:szCs w:val="24"/>
              </w:rPr>
            </w:pPr>
            <w:r w:rsidRPr="00A53FF9">
              <w:t xml:space="preserve">«Les définitions, dénominations ou dénominations de vente prévues à l'annexe VII ne peuvent être utilisées dans l'Union que pour la commercialisation </w:t>
            </w:r>
            <w:r w:rsidRPr="00A53FF9">
              <w:rPr>
                <w:b/>
                <w:i/>
              </w:rPr>
              <w:t>et la promotion</w:t>
            </w:r>
            <w:r w:rsidRPr="00A53FF9">
              <w:t xml:space="preserve"> d'un produit conforme aux exigences correspondantes définies à ladite annexe. </w:t>
            </w:r>
            <w:r w:rsidRPr="00A53FF9">
              <w:rPr>
                <w:b/>
                <w:i/>
              </w:rPr>
              <w:t>L’annexe VII peut prescrire les conditions dans lesquelles ces dénominations ou dénominations de vente sont protégées, lors de la commercialisation ou promotion, contre des utilisations commerciales, des usurpations, imitations ou évocations illicites.</w:t>
            </w:r>
            <w:bookmarkStart w:id="1" w:name="_GoBack"/>
            <w:bookmarkEnd w:id="1"/>
            <w:r w:rsidR="00CD03D8" w:rsidRPr="00A53FF9">
              <w:rPr>
                <w:b/>
                <w:i/>
              </w:rPr>
              <w: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CrossRef"/>
      </w:pPr>
      <w:r w:rsidRPr="00A53FF9">
        <w:t>(https://eur-lex.europa.eu/legal-content/FR/TXT/?qid=1543420057169&amp;uri=CELEX:02013R1308-20180101)</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Cet amendement vise à assurer une meilleure protection des dénominations et à mieux informer les consommateurs. Pour prendre l'exemple du lait il tire sa substance de l'arrêt Tofutown du 14 juillet 2017 dans lequel la Cour de Justice a précisé que les dénominations du lait et des produits laitiers ne pouvaient pas être utilisés pour un produit végétal.</w:t>
      </w:r>
    </w:p>
    <w:p w:rsidR="002F2A46" w:rsidRPr="00A53FF9" w:rsidRDefault="002F2A46" w:rsidP="002F2A46">
      <w:r w:rsidRPr="00A53FF9">
        <w:rPr>
          <w:rStyle w:val="HideTWBExt"/>
        </w:rPr>
        <w:t>&lt;/Amend&gt;</w:t>
      </w:r>
    </w:p>
    <w:p w:rsidR="002F2A46" w:rsidRPr="00A53FF9" w:rsidRDefault="002F2A46" w:rsidP="002F2A46">
      <w:pPr>
        <w:pStyle w:val="AMNumberTabs"/>
        <w:keepNext/>
      </w:pPr>
      <w:r w:rsidRPr="00A53FF9">
        <w:rPr>
          <w:rStyle w:val="HideTWBExt"/>
          <w:b w:val="0"/>
        </w:rPr>
        <w:t>&lt;Amend&gt;</w:t>
      </w:r>
      <w:r w:rsidRPr="00A53FF9">
        <w:t>Amendement</w:t>
      </w:r>
      <w:r w:rsidRPr="00A53FF9">
        <w:tab/>
      </w:r>
      <w:r w:rsidRPr="00A53FF9">
        <w:tab/>
      </w:r>
      <w:r w:rsidRPr="00A53FF9">
        <w:rPr>
          <w:rStyle w:val="HideTWBExt"/>
          <w:b w:val="0"/>
        </w:rPr>
        <w:t>&lt;NumAm&gt;</w:t>
      </w:r>
      <w:r w:rsidRPr="00A53FF9">
        <w:t>349</w:t>
      </w:r>
      <w:r w:rsidRPr="00A53FF9">
        <w:rPr>
          <w:rStyle w:val="HideTWBExt"/>
          <w:b w:val="0"/>
        </w:rPr>
        <w:t>&lt;/NumAm&gt;</w:t>
      </w:r>
    </w:p>
    <w:p w:rsidR="002F2A46" w:rsidRPr="00A53FF9" w:rsidRDefault="002F2A46" w:rsidP="002F2A46">
      <w:pPr>
        <w:pStyle w:val="NormalBold"/>
      </w:pPr>
      <w:r w:rsidRPr="00A53FF9">
        <w:rPr>
          <w:rStyle w:val="HideTWBExt"/>
          <w:b w:val="0"/>
        </w:rPr>
        <w:t>&lt;RepeatBlock-By&gt;&lt;Members&gt;</w:t>
      </w:r>
      <w:r w:rsidRPr="00A53FF9">
        <w:t>Eric Andrieu, Karine Gloanec Maurin</w:t>
      </w:r>
      <w:r w:rsidRPr="00A53FF9">
        <w:rPr>
          <w:rStyle w:val="HideTWBExt"/>
          <w:b w:val="0"/>
        </w:rPr>
        <w:t>&lt;/Members&gt;</w:t>
      </w:r>
    </w:p>
    <w:p w:rsidR="002F2A46" w:rsidRPr="00A53FF9" w:rsidRDefault="002F2A46" w:rsidP="002F2A46">
      <w:r w:rsidRPr="00A53FF9">
        <w:rPr>
          <w:rStyle w:val="HideTWBExt"/>
        </w:rPr>
        <w:t>&lt;/RepeatBlock-By&gt;</w:t>
      </w:r>
    </w:p>
    <w:p w:rsidR="002F2A46" w:rsidRPr="00A53FF9" w:rsidRDefault="002F2A46" w:rsidP="002F2A46">
      <w:pPr>
        <w:pStyle w:val="NormalBold"/>
        <w:keepNext/>
      </w:pPr>
      <w:r w:rsidRPr="00A53FF9">
        <w:rPr>
          <w:rStyle w:val="HideTWBExt"/>
          <w:b w:val="0"/>
        </w:rPr>
        <w:t>&lt;DocAmend&gt;</w:t>
      </w:r>
      <w:r w:rsidRPr="00A53FF9">
        <w:t>Proposition de règlement</w:t>
      </w:r>
      <w:r w:rsidRPr="00A53FF9">
        <w:rPr>
          <w:rStyle w:val="HideTWBExt"/>
          <w:b w:val="0"/>
        </w:rPr>
        <w:t>&lt;/DocAmend&gt;</w:t>
      </w:r>
    </w:p>
    <w:p w:rsidR="002F2A46" w:rsidRPr="00A53FF9" w:rsidRDefault="002F2A46" w:rsidP="002F2A46">
      <w:pPr>
        <w:pStyle w:val="NormalBold"/>
      </w:pPr>
      <w:r w:rsidRPr="00A53FF9">
        <w:rPr>
          <w:rStyle w:val="HideTWBExt"/>
          <w:b w:val="0"/>
        </w:rPr>
        <w:t>&lt;Article&gt;</w:t>
      </w:r>
      <w:r w:rsidRPr="00A53FF9">
        <w:t>Article 1 – alinéa 1 – point 5 decies (nouveau)</w:t>
      </w:r>
      <w:r w:rsidRPr="00A53FF9">
        <w:rPr>
          <w:rStyle w:val="HideTWBExt"/>
          <w:b w:val="0"/>
        </w:rPr>
        <w:t>&lt;/Article&gt;</w:t>
      </w:r>
    </w:p>
    <w:p w:rsidR="002F2A46" w:rsidRPr="00A53FF9" w:rsidRDefault="002F2A46" w:rsidP="002F2A46">
      <w:pPr>
        <w:keepNext/>
      </w:pPr>
      <w:r w:rsidRPr="00A53FF9">
        <w:rPr>
          <w:rStyle w:val="HideTWBExt"/>
        </w:rPr>
        <w:t>&lt;DocAmend2&gt;</w:t>
      </w:r>
      <w:r w:rsidRPr="00A53FF9">
        <w:t>Règlement (UE) n° 1308/2013</w:t>
      </w:r>
      <w:r w:rsidRPr="00A53FF9">
        <w:rPr>
          <w:rStyle w:val="HideTWBExt"/>
        </w:rPr>
        <w:t>&lt;/DocAmend2&gt;</w:t>
      </w:r>
    </w:p>
    <w:p w:rsidR="002F2A46" w:rsidRPr="00A53FF9" w:rsidRDefault="002F2A46" w:rsidP="002F2A46">
      <w:r w:rsidRPr="00A53FF9">
        <w:rPr>
          <w:rStyle w:val="HideTWBExt"/>
        </w:rPr>
        <w:t>&lt;Article2&gt;</w:t>
      </w:r>
      <w:r w:rsidRPr="00A53FF9">
        <w:t>Article 79 bis (nouveau)</w:t>
      </w:r>
      <w:r w:rsidRPr="00A53FF9">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F2A46" w:rsidRPr="00A53FF9" w:rsidTr="003A3553">
        <w:trPr>
          <w:jc w:val="center"/>
        </w:trPr>
        <w:tc>
          <w:tcPr>
            <w:tcW w:w="9752" w:type="dxa"/>
            <w:gridSpan w:val="2"/>
          </w:tcPr>
          <w:p w:rsidR="002F2A46" w:rsidRPr="00A53FF9" w:rsidRDefault="002F2A46" w:rsidP="003A3553">
            <w:pPr>
              <w:keepNext/>
            </w:pPr>
          </w:p>
        </w:tc>
      </w:tr>
      <w:tr w:rsidR="002F2A46" w:rsidRPr="00A53FF9" w:rsidTr="003A3553">
        <w:trPr>
          <w:jc w:val="center"/>
        </w:trPr>
        <w:tc>
          <w:tcPr>
            <w:tcW w:w="4876" w:type="dxa"/>
            <w:hideMark/>
          </w:tcPr>
          <w:p w:rsidR="002F2A46" w:rsidRPr="00A53FF9" w:rsidRDefault="002F2A46" w:rsidP="003A3553">
            <w:pPr>
              <w:pStyle w:val="ColumnHeading"/>
              <w:keepNext/>
            </w:pPr>
            <w:r w:rsidRPr="00A53FF9">
              <w:t>Texte proposé par la Commission</w:t>
            </w:r>
          </w:p>
        </w:tc>
        <w:tc>
          <w:tcPr>
            <w:tcW w:w="4876" w:type="dxa"/>
            <w:hideMark/>
          </w:tcPr>
          <w:p w:rsidR="002F2A46" w:rsidRPr="00A53FF9" w:rsidRDefault="002F2A46" w:rsidP="003A3553">
            <w:pPr>
              <w:pStyle w:val="ColumnHeading"/>
              <w:keepNext/>
            </w:pPr>
            <w:r w:rsidRPr="00A53FF9">
              <w:t>Amendement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(5 decies)</w:t>
            </w:r>
            <w:r w:rsidRPr="00A53FF9">
              <w:rPr>
                <w:b/>
                <w:i/>
              </w:rPr>
              <w:tab/>
              <w:t>L'article 79 bis nouveau est inséré:</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Article 79 bis Mélange d'huile d'olive avec d'autres huiles végétales</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1. Le mélange d'huile d'olive avec d'autres huiles végétales est interdit.</w:t>
            </w:r>
          </w:p>
        </w:tc>
      </w:tr>
      <w:tr w:rsidR="002F2A46" w:rsidRPr="00A53FF9" w:rsidTr="003A3553">
        <w:trPr>
          <w:jc w:val="center"/>
        </w:trPr>
        <w:tc>
          <w:tcPr>
            <w:tcW w:w="4876" w:type="dxa"/>
          </w:tcPr>
          <w:p w:rsidR="002F2A46" w:rsidRPr="00A53FF9" w:rsidRDefault="002F2A46" w:rsidP="003A3553">
            <w:pPr>
              <w:pStyle w:val="Normal6"/>
            </w:pPr>
          </w:p>
        </w:tc>
        <w:tc>
          <w:tcPr>
            <w:tcW w:w="4876" w:type="dxa"/>
            <w:hideMark/>
          </w:tcPr>
          <w:p w:rsidR="002F2A46" w:rsidRPr="00A53FF9" w:rsidRDefault="002F2A46" w:rsidP="003A3553">
            <w:pPr>
              <w:pStyle w:val="Normal6"/>
              <w:rPr>
                <w:szCs w:val="24"/>
              </w:rPr>
            </w:pPr>
            <w:r w:rsidRPr="00A53FF9">
              <w:rPr>
                <w:b/>
                <w:i/>
              </w:rPr>
              <w:t>2. La Commission est autorisée à adopter des actes délégués en lien avec l'article 227 établissant des sanctions pour les opérateurs qui ne se conforment pas au paragraphe 1 de cet article.</w:t>
            </w:r>
          </w:p>
        </w:tc>
      </w:tr>
    </w:tbl>
    <w:p w:rsidR="002F2A46" w:rsidRPr="00A53FF9" w:rsidRDefault="002F2A46" w:rsidP="002F2A46">
      <w:pPr>
        <w:pStyle w:val="Olang"/>
        <w:rPr>
          <w:noProof w:val="0"/>
          <w:szCs w:val="24"/>
        </w:rPr>
      </w:pPr>
      <w:r w:rsidRPr="00A53FF9">
        <w:rPr>
          <w:noProof w:val="0"/>
        </w:rPr>
        <w:t xml:space="preserve">Or. </w:t>
      </w:r>
      <w:r w:rsidRPr="00A53FF9">
        <w:rPr>
          <w:rStyle w:val="HideTWBExt"/>
          <w:noProof w:val="0"/>
        </w:rPr>
        <w:t>&lt;Original&gt;</w:t>
      </w:r>
      <w:r w:rsidRPr="00A53FF9">
        <w:rPr>
          <w:rStyle w:val="HideTWBInt"/>
          <w:noProof w:val="0"/>
        </w:rPr>
        <w:t>{FR}</w:t>
      </w:r>
      <w:r w:rsidRPr="00A53FF9">
        <w:rPr>
          <w:noProof w:val="0"/>
        </w:rPr>
        <w:t>fr</w:t>
      </w:r>
      <w:r w:rsidRPr="00A53FF9">
        <w:rPr>
          <w:rStyle w:val="HideTWBExt"/>
          <w:noProof w:val="0"/>
        </w:rPr>
        <w:t>&lt;/Original&gt;</w:t>
      </w:r>
    </w:p>
    <w:p w:rsidR="002F2A46" w:rsidRPr="00A53FF9" w:rsidRDefault="002F2A46" w:rsidP="002F2A46">
      <w:pPr>
        <w:pStyle w:val="JustificationTitle"/>
        <w:rPr>
          <w:noProof w:val="0"/>
        </w:rPr>
      </w:pPr>
      <w:r w:rsidRPr="00A53FF9">
        <w:rPr>
          <w:rStyle w:val="HideTWBExt"/>
          <w:i w:val="0"/>
          <w:noProof w:val="0"/>
        </w:rPr>
        <w:t>&lt;TitreJust&gt;</w:t>
      </w:r>
      <w:r w:rsidRPr="00A53FF9">
        <w:rPr>
          <w:noProof w:val="0"/>
        </w:rPr>
        <w:t>Justification</w:t>
      </w:r>
      <w:r w:rsidRPr="00A53FF9">
        <w:rPr>
          <w:rStyle w:val="HideTWBExt"/>
          <w:i w:val="0"/>
          <w:noProof w:val="0"/>
        </w:rPr>
        <w:t>&lt;/TitreJust&gt;</w:t>
      </w:r>
    </w:p>
    <w:p w:rsidR="002F2A46" w:rsidRPr="00A53FF9" w:rsidRDefault="002F2A46" w:rsidP="002F2A46">
      <w:pPr>
        <w:pStyle w:val="Normal12Italic"/>
        <w:rPr>
          <w:noProof w:val="0"/>
        </w:rPr>
      </w:pPr>
      <w:r w:rsidRPr="00A53FF9">
        <w:rPr>
          <w:noProof w:val="0"/>
        </w:rPr>
        <w:t>Dans les mélanges d'huiles composés d'huile d'olive avec d'autres types d'huiles végétales il est impossible de mesurer le % de chaque origine d'huile. Pour ne pas tromper le consommateur il est nécessaire d'empêcher ces mélanges.</w:t>
      </w:r>
    </w:p>
    <w:p w:rsidR="00500D75" w:rsidRPr="00A53FF9" w:rsidRDefault="002F2A46" w:rsidP="002F2A46">
      <w:r w:rsidRPr="00A53FF9">
        <w:rPr>
          <w:rStyle w:val="HideTWBExt"/>
        </w:rPr>
        <w:t>&lt;/Amend&gt;</w:t>
      </w:r>
      <w:r w:rsidRPr="002F2A46">
        <w:rPr>
          <w:rStyle w:val="HideTWBExt"/>
        </w:rPr>
        <w:t>&lt;/RepeatBlock-Amend&gt;</w:t>
      </w:r>
    </w:p>
    <w:bookmarkEnd w:id="0"/>
    <w:sectPr w:rsidR="00500D75" w:rsidRPr="00A53FF9" w:rsidSect="00A53FF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6C" w:rsidRPr="00A53FF9" w:rsidRDefault="0086376C">
      <w:r w:rsidRPr="00A53FF9">
        <w:separator/>
      </w:r>
    </w:p>
  </w:endnote>
  <w:endnote w:type="continuationSeparator" w:id="0">
    <w:p w:rsidR="0086376C" w:rsidRPr="00A53FF9" w:rsidRDefault="0086376C">
      <w:r w:rsidRPr="00A53F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F9" w:rsidRPr="002F2A46" w:rsidRDefault="00A53FF9" w:rsidP="00A53FF9">
    <w:pPr>
      <w:pStyle w:val="Footer"/>
      <w:rPr>
        <w:lang w:val="de-DE"/>
      </w:rPr>
    </w:pPr>
    <w:r w:rsidRPr="002F2A46">
      <w:rPr>
        <w:lang w:val="de-DE"/>
      </w:rPr>
      <w:t>PE</w:t>
    </w:r>
    <w:r w:rsidRPr="002F2A46">
      <w:rPr>
        <w:rStyle w:val="HideTWBExt"/>
        <w:noProof w:val="0"/>
        <w:lang w:val="de-DE"/>
      </w:rPr>
      <w:t>&lt;NoPE&gt;</w:t>
    </w:r>
    <w:r w:rsidRPr="002F2A46">
      <w:rPr>
        <w:lang w:val="de-DE"/>
      </w:rPr>
      <w:t>631.782</w:t>
    </w:r>
    <w:r w:rsidRPr="002F2A46">
      <w:rPr>
        <w:rStyle w:val="HideTWBExt"/>
        <w:noProof w:val="0"/>
        <w:lang w:val="de-DE"/>
      </w:rPr>
      <w:t>&lt;/NoPE&gt;&lt;Version&gt;</w:t>
    </w:r>
    <w:r w:rsidRPr="002F2A46">
      <w:rPr>
        <w:lang w:val="de-DE"/>
      </w:rPr>
      <w:t>v01-00</w:t>
    </w:r>
    <w:r w:rsidRPr="002F2A46">
      <w:rPr>
        <w:rStyle w:val="HideTWBExt"/>
        <w:noProof w:val="0"/>
        <w:lang w:val="de-DE"/>
      </w:rPr>
      <w:t>&lt;/Version&gt;</w:t>
    </w:r>
    <w:r w:rsidRPr="002F2A46">
      <w:rPr>
        <w:lang w:val="de-DE"/>
      </w:rPr>
      <w:tab/>
    </w:r>
    <w:r w:rsidRPr="00A53FF9">
      <w:fldChar w:fldCharType="begin"/>
    </w:r>
    <w:r w:rsidRPr="002F2A46">
      <w:rPr>
        <w:lang w:val="de-DE"/>
      </w:rPr>
      <w:instrText xml:space="preserve"> PAGE  \* MERGEFORMAT </w:instrText>
    </w:r>
    <w:r w:rsidRPr="00A53FF9">
      <w:fldChar w:fldCharType="separate"/>
    </w:r>
    <w:r w:rsidR="00CD03D8">
      <w:rPr>
        <w:noProof/>
        <w:lang w:val="de-DE"/>
      </w:rPr>
      <w:t>164</w:t>
    </w:r>
    <w:r w:rsidRPr="00A53FF9">
      <w:fldChar w:fldCharType="end"/>
    </w:r>
    <w:r w:rsidRPr="002F2A46">
      <w:rPr>
        <w:lang w:val="de-DE"/>
      </w:rPr>
      <w:t>/</w:t>
    </w:r>
    <w:r w:rsidR="00CD03D8">
      <w:rPr>
        <w:noProof/>
      </w:rPr>
      <w:fldChar w:fldCharType="begin"/>
    </w:r>
    <w:r w:rsidR="00CD03D8" w:rsidRPr="002F2A46">
      <w:rPr>
        <w:noProof/>
        <w:lang w:val="de-DE"/>
      </w:rPr>
      <w:instrText xml:space="preserve"> NUMPAGES  \* MERGEFORMAT </w:instrText>
    </w:r>
    <w:r w:rsidR="00CD03D8">
      <w:rPr>
        <w:noProof/>
      </w:rPr>
      <w:fldChar w:fldCharType="separate"/>
    </w:r>
    <w:r w:rsidR="00CD03D8">
      <w:rPr>
        <w:noProof/>
        <w:lang w:val="de-DE"/>
      </w:rPr>
      <w:t>164</w:t>
    </w:r>
    <w:r w:rsidR="00CD03D8">
      <w:rPr>
        <w:noProof/>
      </w:rPr>
      <w:fldChar w:fldCharType="end"/>
    </w:r>
    <w:r w:rsidRPr="002F2A46">
      <w:rPr>
        <w:lang w:val="de-DE"/>
      </w:rPr>
      <w:tab/>
    </w:r>
    <w:r w:rsidRPr="002F2A46">
      <w:rPr>
        <w:rStyle w:val="HideTWBExt"/>
        <w:noProof w:val="0"/>
        <w:lang w:val="de-DE"/>
      </w:rPr>
      <w:t>&lt;PathFdR&gt;</w:t>
    </w:r>
    <w:r w:rsidRPr="002F2A46">
      <w:rPr>
        <w:lang w:val="de-DE"/>
      </w:rPr>
      <w:t>AM\1170676FR.docx</w:t>
    </w:r>
    <w:r w:rsidRPr="002F2A46">
      <w:rPr>
        <w:rStyle w:val="HideTWBExt"/>
        <w:noProof w:val="0"/>
        <w:lang w:val="de-DE"/>
      </w:rPr>
      <w:t>&lt;/PathFdR&gt;</w:t>
    </w:r>
  </w:p>
  <w:p w:rsidR="0086376C" w:rsidRPr="00A53FF9" w:rsidRDefault="00A53FF9" w:rsidP="00A53FF9">
    <w:pPr>
      <w:pStyle w:val="Footer2"/>
    </w:pPr>
    <w:r w:rsidRPr="00A53FF9">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F9" w:rsidRPr="002F2A46" w:rsidRDefault="00A53FF9" w:rsidP="00A53FF9">
    <w:pPr>
      <w:pStyle w:val="Footer"/>
      <w:rPr>
        <w:lang w:val="de-DE"/>
      </w:rPr>
    </w:pPr>
    <w:r w:rsidRPr="002F2A46">
      <w:rPr>
        <w:rStyle w:val="HideTWBExt"/>
        <w:noProof w:val="0"/>
        <w:lang w:val="de-DE"/>
      </w:rPr>
      <w:t>&lt;PathFdR&gt;</w:t>
    </w:r>
    <w:r w:rsidRPr="002F2A46">
      <w:rPr>
        <w:lang w:val="de-DE"/>
      </w:rPr>
      <w:t>AM\1170676FR.docx</w:t>
    </w:r>
    <w:r w:rsidRPr="002F2A46">
      <w:rPr>
        <w:rStyle w:val="HideTWBExt"/>
        <w:noProof w:val="0"/>
        <w:lang w:val="de-DE"/>
      </w:rPr>
      <w:t>&lt;/PathFdR&gt;</w:t>
    </w:r>
    <w:r w:rsidRPr="002F2A46">
      <w:rPr>
        <w:lang w:val="de-DE"/>
      </w:rPr>
      <w:tab/>
    </w:r>
    <w:r w:rsidRPr="00A53FF9">
      <w:fldChar w:fldCharType="begin"/>
    </w:r>
    <w:r w:rsidRPr="002F2A46">
      <w:rPr>
        <w:lang w:val="de-DE"/>
      </w:rPr>
      <w:instrText xml:space="preserve"> PAGE  \* MERGEFORMAT </w:instrText>
    </w:r>
    <w:r w:rsidRPr="00A53FF9">
      <w:fldChar w:fldCharType="separate"/>
    </w:r>
    <w:r w:rsidR="00CD03D8">
      <w:rPr>
        <w:noProof/>
        <w:lang w:val="de-DE"/>
      </w:rPr>
      <w:t>163</w:t>
    </w:r>
    <w:r w:rsidRPr="00A53FF9">
      <w:fldChar w:fldCharType="end"/>
    </w:r>
    <w:r w:rsidRPr="002F2A46">
      <w:rPr>
        <w:lang w:val="de-DE"/>
      </w:rPr>
      <w:t>/</w:t>
    </w:r>
    <w:r w:rsidR="00CD03D8">
      <w:rPr>
        <w:noProof/>
      </w:rPr>
      <w:fldChar w:fldCharType="begin"/>
    </w:r>
    <w:r w:rsidR="00CD03D8" w:rsidRPr="002F2A46">
      <w:rPr>
        <w:noProof/>
        <w:lang w:val="de-DE"/>
      </w:rPr>
      <w:instrText xml:space="preserve"> NUMPAGES  \* MERGEFORMAT </w:instrText>
    </w:r>
    <w:r w:rsidR="00CD03D8">
      <w:rPr>
        <w:noProof/>
      </w:rPr>
      <w:fldChar w:fldCharType="separate"/>
    </w:r>
    <w:r w:rsidR="00CD03D8">
      <w:rPr>
        <w:noProof/>
        <w:lang w:val="de-DE"/>
      </w:rPr>
      <w:t>164</w:t>
    </w:r>
    <w:r w:rsidR="00CD03D8">
      <w:rPr>
        <w:noProof/>
      </w:rPr>
      <w:fldChar w:fldCharType="end"/>
    </w:r>
    <w:r w:rsidRPr="002F2A46">
      <w:rPr>
        <w:lang w:val="de-DE"/>
      </w:rPr>
      <w:tab/>
      <w:t>PE</w:t>
    </w:r>
    <w:r w:rsidRPr="002F2A46">
      <w:rPr>
        <w:rStyle w:val="HideTWBExt"/>
        <w:noProof w:val="0"/>
        <w:lang w:val="de-DE"/>
      </w:rPr>
      <w:t>&lt;NoPE&gt;</w:t>
    </w:r>
    <w:r w:rsidRPr="002F2A46">
      <w:rPr>
        <w:lang w:val="de-DE"/>
      </w:rPr>
      <w:t>631.782</w:t>
    </w:r>
    <w:r w:rsidRPr="002F2A46">
      <w:rPr>
        <w:rStyle w:val="HideTWBExt"/>
        <w:noProof w:val="0"/>
        <w:lang w:val="de-DE"/>
      </w:rPr>
      <w:t>&lt;/NoPE&gt;&lt;Version&gt;</w:t>
    </w:r>
    <w:r w:rsidRPr="002F2A46">
      <w:rPr>
        <w:lang w:val="de-DE"/>
      </w:rPr>
      <w:t>v01-00</w:t>
    </w:r>
    <w:r w:rsidRPr="002F2A46">
      <w:rPr>
        <w:rStyle w:val="HideTWBExt"/>
        <w:noProof w:val="0"/>
        <w:lang w:val="de-DE"/>
      </w:rPr>
      <w:t>&lt;/Version&gt;</w:t>
    </w:r>
  </w:p>
  <w:p w:rsidR="0086376C" w:rsidRPr="00A53FF9" w:rsidRDefault="00A53FF9" w:rsidP="00A53FF9">
    <w:pPr>
      <w:pStyle w:val="Footer2"/>
    </w:pPr>
    <w:r w:rsidRPr="002F2A46">
      <w:rPr>
        <w:lang w:val="de-DE"/>
      </w:rPr>
      <w:tab/>
    </w:r>
    <w:r w:rsidRPr="00A53FF9">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F9" w:rsidRPr="002F2A46" w:rsidRDefault="00A53FF9" w:rsidP="00A53FF9">
    <w:pPr>
      <w:pStyle w:val="Footer"/>
      <w:rPr>
        <w:lang w:val="de-DE"/>
      </w:rPr>
    </w:pPr>
    <w:r w:rsidRPr="002F2A46">
      <w:rPr>
        <w:rStyle w:val="HideTWBExt"/>
        <w:noProof w:val="0"/>
        <w:lang w:val="de-DE"/>
      </w:rPr>
      <w:t>&lt;PathFdR&gt;</w:t>
    </w:r>
    <w:r w:rsidRPr="002F2A46">
      <w:rPr>
        <w:lang w:val="de-DE"/>
      </w:rPr>
      <w:t>AM\1170676FR.docx</w:t>
    </w:r>
    <w:r w:rsidRPr="002F2A46">
      <w:rPr>
        <w:rStyle w:val="HideTWBExt"/>
        <w:noProof w:val="0"/>
        <w:lang w:val="de-DE"/>
      </w:rPr>
      <w:t>&lt;/PathFdR&gt;</w:t>
    </w:r>
    <w:r w:rsidRPr="002F2A46">
      <w:rPr>
        <w:lang w:val="de-DE"/>
      </w:rPr>
      <w:tab/>
    </w:r>
    <w:r w:rsidRPr="002F2A46">
      <w:rPr>
        <w:lang w:val="de-DE"/>
      </w:rPr>
      <w:tab/>
      <w:t>PE</w:t>
    </w:r>
    <w:r w:rsidRPr="002F2A46">
      <w:rPr>
        <w:rStyle w:val="HideTWBExt"/>
        <w:noProof w:val="0"/>
        <w:lang w:val="de-DE"/>
      </w:rPr>
      <w:t>&lt;NoPE&gt;</w:t>
    </w:r>
    <w:r w:rsidRPr="002F2A46">
      <w:rPr>
        <w:lang w:val="de-DE"/>
      </w:rPr>
      <w:t>631.782</w:t>
    </w:r>
    <w:r w:rsidRPr="002F2A46">
      <w:rPr>
        <w:rStyle w:val="HideTWBExt"/>
        <w:noProof w:val="0"/>
        <w:lang w:val="de-DE"/>
      </w:rPr>
      <w:t>&lt;/NoPE&gt;&lt;Version&gt;</w:t>
    </w:r>
    <w:r w:rsidRPr="002F2A46">
      <w:rPr>
        <w:lang w:val="de-DE"/>
      </w:rPr>
      <w:t>v01-00</w:t>
    </w:r>
    <w:r w:rsidRPr="002F2A46">
      <w:rPr>
        <w:rStyle w:val="HideTWBExt"/>
        <w:noProof w:val="0"/>
        <w:lang w:val="de-DE"/>
      </w:rPr>
      <w:t>&lt;/Version&gt;</w:t>
    </w:r>
  </w:p>
  <w:p w:rsidR="0086376C" w:rsidRPr="00A53FF9" w:rsidRDefault="00A53FF9" w:rsidP="00A53FF9">
    <w:pPr>
      <w:pStyle w:val="Footer2"/>
      <w:tabs>
        <w:tab w:val="center" w:pos="4535"/>
      </w:tabs>
    </w:pPr>
    <w:r w:rsidRPr="00A53FF9">
      <w:t>FR</w:t>
    </w:r>
    <w:r w:rsidRPr="00A53FF9">
      <w:tab/>
    </w:r>
    <w:r w:rsidRPr="00A53FF9">
      <w:rPr>
        <w:b w:val="0"/>
        <w:i/>
        <w:color w:val="C0C0C0"/>
        <w:sz w:val="22"/>
      </w:rPr>
      <w:t>Unie dans la diversité</w:t>
    </w:r>
    <w:r w:rsidRPr="00A53FF9">
      <w:tab/>
      <w:t>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6C" w:rsidRPr="00A53FF9" w:rsidRDefault="0086376C">
      <w:r w:rsidRPr="00A53FF9">
        <w:separator/>
      </w:r>
    </w:p>
  </w:footnote>
  <w:footnote w:type="continuationSeparator" w:id="0">
    <w:p w:rsidR="0086376C" w:rsidRPr="00A53FF9" w:rsidRDefault="0086376C">
      <w:r w:rsidRPr="00A53F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46" w:rsidRDefault="002F2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46" w:rsidRDefault="002F2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46" w:rsidRDefault="002F2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MACTMNU" w:val=" 2"/>
    <w:docVar w:name="AMPLURMNU" w:val=" 1"/>
    <w:docVar w:name="CODEMNU" w:val=" 1"/>
    <w:docVar w:name="COMKEY" w:val="AGRI"/>
    <w:docVar w:name="DOCCODMNU" w:val=" 1"/>
    <w:docVar w:name="DOCDT" w:val="12/12/2018"/>
    <w:docVar w:name="End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3127606 HideTWBExt;}}{\*\rsidtbl \rsid24658\rsid735077\rsid2892074\rsid4666813\rsid6641733\rsid7286045\rsid9636012\rsid11215221\rsid12154954\rsid1312760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6}{\nofchars33}{\*\company European Parliament}{\nofcharsws38}{\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3127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86045 \chftnsep _x000d__x000a_\par }}{\*\ftnsepc \ltrpar \pard\plain \ltrpar\ql \li0\ri0\widctlpar\wrapdefault\aspalpha\aspnum\faauto\adjustright\rin0\lin0\itap0 \rtlch\fcs1 \af0\afs20\alang1025 \ltrch\fcs0 \fs24\lang2057\langfe2057\cgrid\langnp2057\langfenp2057 {\rtlch\fcs1 \af0 _x000d__x000a_\ltrch\fcs0 \insrsid7286045 \chftnsepc _x000d__x000a_\par }}{\*\aftnsep \ltrpar \pard\plain \ltrpar\ql \li0\ri0\widctlpar\wrapdefault\aspalpha\aspnum\faauto\adjustright\rin0\lin0\itap0 \rtlch\fcs1 \af0\afs20\alang1025 \ltrch\fcs0 \fs24\lang2057\langfe2057\cgrid\langnp2057\langfenp2057 {\rtlch\fcs1 \af0 _x000d__x000a_\ltrch\fcs0 \insrsid7286045 \chftnsep _x000d__x000a_\par }}{\*\aftnsepc \ltrpar \pard\plain \ltrpar\ql \li0\ri0\widctlpar\wrapdefault\aspalpha\aspnum\faauto\adjustright\rin0\lin0\itap0 \rtlch\fcs1 \af0\afs20\alang1025 \ltrch\fcs0 \fs24\lang2057\langfe2057\cgrid\langnp2057\langfenp2057 {\rtlch\fcs1 \af0 _x000d__x000a_\ltrch\fcs0 \insrsid72860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90444 \rtlch\fcs1 \af0\afs20\alang1025 \ltrch\fcs0 \fs24\lang2057\langfe2057\cgrid\langnp2057\langfenp2057 {\rtlch\fcs1 \af0 \ltrch\fcs0 _x000d__x000a_\cs15\v\f1\fs20\cf9\insrsid13127606\charrsid946740 {\*\bkmkstart EndA}&lt;&lt;&lt;}{\rtlch\fcs1 \af0 \ltrch\fcs0 \insrsid13127606\charrsid946740 #@&gt;ZOTHAMA&lt;@#}{\rtlch\fcs1 \af0 \ltrch\fcs0 \cs15\v\f1\fs20\cf9\insrsid13127606\charrsid946740 &lt;/RepeatBlock-AmendA&gt;}{_x000d__x000a_\rtlch\fcs1 \af0 \ltrch\fcs0 \insrsid13127606\charrsid946740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7c_x000d__x000a_a3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948606 HideTWBExt;}}{\*\rsidtbl \rsid24658\rsid735077\rsid2892074\rsid4666813\rsid6641733\rsid9636012\rsid10711257\rsid10948606\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5}{\nofchars33}{\*\company European Parliament}{\nofcharsws37}{\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94860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0711257 \chftnsep _x000d__x000a_\par }}{\*\ftnsepc \ltrpar \pard\plain \ltrpar\ql \li0\ri0\widctlpar\wrapdefault\aspalpha\aspnum\faauto\adjustright\rin0\lin0\itap0 \rtlch\fcs1 \af0\afs20\alang1025 \ltrch\fcs0 \fs24\lang2057\langfe2057\cgrid\langnp2057\langfenp2057 {\rtlch\fcs1 \af0 _x000d__x000a_\ltrch\fcs0 \insrsid10711257 \chftnsepc _x000d__x000a_\par }}{\*\aftnsep \ltrpar \pard\plain \ltrpar\ql \li0\ri0\widctlpar\wrapdefault\aspalpha\aspnum\faauto\adjustright\rin0\lin0\itap0 \rtlch\fcs1 \af0\afs20\alang1025 \ltrch\fcs0 \fs24\lang2057\langfe2057\cgrid\langnp2057\langfenp2057 {\rtlch\fcs1 \af0 _x000d__x000a_\ltrch\fcs0 \insrsid10711257 \chftnsep _x000d__x000a_\par }}{\*\aftnsepc \ltrpar \pard\plain \ltrpar\ql \li0\ri0\widctlpar\wrapdefault\aspalpha\aspnum\faauto\adjustright\rin0\lin0\itap0 \rtlch\fcs1 \af0\afs20\alang1025 \ltrch\fcs0 \fs24\lang2057\langfe2057\cgrid\langnp2057\langfenp2057 {\rtlch\fcs1 \af0 _x000d__x000a_\ltrch\fcs0 \insrsid1071125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0948606\charrsid946740 {\*\bkmkstart EndB}&lt;&lt;&lt;}{\rtlch\fcs1 \af0 \ltrch\fcs0 \insrsid10948606\charrsid946740 #@&gt;ZOTHAMB&lt;@#}{\rtlch\fcs1 \af0 \ltrch\fcs0 \cs15\v\f1\fs20\cf9\insrsid10948606\charrsid946740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27_x000d__x000a_29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A"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1163973 HideTWBExt;}}{\*\rsidtbl \rsid24658\rsid735077\rsid2892074\rsid4666813\rsid6057549\rsid6641733\rsid9636012\rsid11163973\rsid11215221\rsid12154954\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163973\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6057549 \chftnsep _x000d__x000a_\par }}{\*\ftnsepc \ltrpar \pard\plain \ltrpar\ql \li0\ri0\widctlpar\wrapdefault\aspalpha\aspnum\faauto\adjustright\rin0\lin0\itap0 \rtlch\fcs1 \af0\afs20\alang1025 \ltrch\fcs0 \fs24\lang2057\langfe2057\cgrid\langnp2057\langfenp2057 {\rtlch\fcs1 \af0 _x000d__x000a_\ltrch\fcs0 \insrsid6057549 \chftnsepc _x000d__x000a_\par }}{\*\aftnsep \ltrpar \pard\plain \ltrpar\ql \li0\ri0\widctlpar\wrapdefault\aspalpha\aspnum\faauto\adjustright\rin0\lin0\itap0 \rtlch\fcs1 \af0\afs20\alang1025 \ltrch\fcs0 \fs24\lang2057\langfe2057\cgrid\langnp2057\langfenp2057 {\rtlch\fcs1 \af0 _x000d__x000a_\ltrch\fcs0 \insrsid6057549 \chftnsep _x000d__x000a_\par }}{\*\aftnsepc \ltrpar \pard\plain \ltrpar\ql \li0\ri0\widctlpar\wrapdefault\aspalpha\aspnum\faauto\adjustright\rin0\lin0\itap0 \rtlch\fcs1 \af0\afs20\alang1025 \ltrch\fcs0 \fs24\lang2057\langfe2057\cgrid\langnp2057\langfenp2057 {\rtlch\fcs1 \af0 _x000d__x000a_\ltrch\fcs0 \insrsid605754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1163973\charrsid946740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95_x000d__x000a_761f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2335126 HideTWBExt;}}{\*\rsidtbl \rsid24658\rsid735077\rsid2892074\rsid4666813\rsid6641733\rsid9636012\rsid11215221\rsid11358468\rsid12154954\rsid12335126\rsid14424199\rsid15204470_x000d__x000a_\rsid15285974\rsid15950462\rsid16324206\rsid16662270}{\mmathPr\mmathFont34\mbrkBin0\mbrkBinSub0\msmallFrac0\mdispDef1\mlMargin0\mrMargin0\mdefJc1\mwrapIndent1440\mintLim0\mnaryLim1}{\info{\author FELIX Karina}{\operator FELIX Karina}_x000d__x000a_{\creatim\yr2015\mo5\dy8\hr15\min23}{\revtim\yr2015\mo5\dy8\hr15\min23}{\version1}{\edmins0}{\nofpages1}{\nofwords3}{\nofchars18}{\*\company European Parliament}{\nofcharsws20}{\vern49165}}{\*\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233512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358468 \chftnsep _x000d__x000a_\par }}{\*\ftnsepc \ltrpar \pard\plain \ltrpar\ql \li0\ri0\widctlpar\wrapdefault\aspalpha\aspnum\faauto\adjustright\rin0\lin0\itap0 \rtlch\fcs1 \af0\afs20\alang1025 \ltrch\fcs0 \fs24\lang2057\langfe2057\cgrid\langnp2057\langfenp2057 {\rtlch\fcs1 \af0 _x000d__x000a_\ltrch\fcs0 \insrsid11358468 \chftnsepc _x000d__x000a_\par }}{\*\aftnsep \ltrpar \pard\plain \ltrpar\ql \li0\ri0\widctlpar\wrapdefault\aspalpha\aspnum\faauto\adjustright\rin0\lin0\itap0 \rtlch\fcs1 \af0\afs20\alang1025 \ltrch\fcs0 \fs24\lang2057\langfe2057\cgrid\langnp2057\langfenp2057 {\rtlch\fcs1 \af0 _x000d__x000a_\ltrch\fcs0 \insrsid11358468 \chftnsep _x000d__x000a_\par }}{\*\aftnsepc \ltrpar \pard\plain \ltrpar\ql \li0\ri0\widctlpar\wrapdefault\aspalpha\aspnum\faauto\adjustright\rin0\lin0\itap0 \rtlch\fcs1 \af0\afs20\alang1025 \ltrch\fcs0 \fs24\lang2057\langfe2057\cgrid\langnp2057\langfenp2057 {\rtlch\fcs1 \af0 _x000d__x000a_\ltrch\fcs0 \insrsid1135846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2335126\charrsid946740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fc_x000d__x000a_1b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0000000000000000000}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0\fbidi \froman\fcharset238\fprq2 Times New Roman CE;}{\f281\fbidi \froman\fcharset204\fprq2 Times New Roman Cyr;}_x000d__x000a_{\f283\fbidi \froman\fcharset161\fprq2 Times New Roman Greek;}{\f284\fbidi \froman\fcharset162\fprq2 Times New Roman Tur;}{\f285\fbidi \froman\fcharset177\fprq2 Times New Roman (Hebrew);}{\f286\fbidi \froman\fcharset178\fprq2 Times New Roman (Arabic);}_x000d__x000a_{\f287\fbidi \froman\fcharset186\fprq2 Times New Roman Baltic;}{\f288\fbidi \froman\fcharset163\fprq2 Times New Roman (Vietnamese);}{\f290\fbidi \fswiss\fcharset238\fprq2 Arial CE;}{\f291\fbidi \fswiss\fcharset204\fprq2 Arial Cyr;}_x000d__x000a_{\f293\fbidi \fswiss\fcharset161\fprq2 Arial Greek;}{\f294\fbidi \fswiss\fcharset162\fprq2 Arial Tur;}{\f295\fbidi \fswiss\fcharset177\fprq2 Arial (Hebrew);}{\f296\fbidi \fswiss\fcharset178\fprq2 Arial (Arabic);}_x000d__x000a_{\f297\fbidi \fswiss\fcharset186\fprq2 Arial Baltic;}{\f298\fbidi \fswiss\fcharset163\fprq2 Arial (Vietnamese);}{\f620\fbidi \froman\fcharset238\fprq2 Cambria Math CE;}{\f621\fbidi \froman\fcharset204\fprq2 Cambria Math Cyr;}_x000d__x000a_{\f623\fbidi \froman\fcharset161\fprq2 Cambria Math Greek;}{\f624\fbidi \froman\fcharset162\fprq2 Cambria Math Tur;}{\f627\fbidi \froman\fcharset186\fprq2 Cambria Math Baltic;}{\f62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353936 HideTWBExt;}{\*\cs16 \additive \v\cf15 \spriority0 \styrsid15353936 HideTWBInt;}{\s17\ql \li0\ri0\sa120\nowidctlpar\wrapdefault\aspalpha\aspnum\faauto\adjustright\rin0\lin0\itap0 _x000d__x000a_\rtlch\fcs1 \af0\afs20\alang1025 \ltrch\fcs0 \fs24\lang2057\langfe2057\cgrid\langnp2057\langfenp2057 \sbasedon0 \snext17 \slink18 \spriority0 \styrsid15353936 Normal6;}{\*\cs18 \additive \fs24 \slink17 \slocked \spriority0 \styrsid15353936 Normal6 Char;}{_x000d__x000a_\s19\ql \li0\ri0\nowidctlpar\wrapdefault\aspalpha\aspnum\faauto\adjustright\rin0\lin0\itap0 \rtlch\fcs1 \af0\afs20\alang1025 \ltrch\fcs0 \b\fs24\lang2057\langfe2057\cgrid\langnp2057\langfenp2057 \sbasedon0 \snext19 \slink20 \spriority0 \styrsid15353936 _x000d__x000a_NormalBold;}{\*\cs20 \additive \b\fs24 \slink19 \slocked \spriority0 \styrsid15353936 NormalBold Char;}{\s21\ql \li0\ri0\sa240\nowidctlpar\wrapdefault\aspalpha\aspnum\faauto\adjustright\rin0\lin0\itap0 \rtlch\fcs1 \af0\afs20\alang1025 \ltrch\fcs0 _x000d__x000a_\i\fs24\lang1024\langfe1024\cgrid\noproof\langnp2057\langfenp2057 \sbasedon0 \snext21 \spriority0 \styrsid15353936 Normal12Italic;}{\s22\qc \li0\ri0\sb240\sa240\keepn\nowidctlpar\wrapdefault\aspalpha\aspnum\faauto\adjustright\rin0\lin0\itap0 \rtlch\fcs1 _x000d__x000a_\af0\afs20\alang1025 \ltrch\fcs0 \i\fs24\lang1024\langfe1024\cgrid\noproof\langnp2057\langfenp2057 \sbasedon0 \snext0 \spriority0 \styrsid15353936 JustificationTitle;}{_x000d__x000a_\s23\qr \li0\ri0\sb240\sa240\nowidctlpar\wrapdefault\aspalpha\aspnum\faauto\adjustright\rin0\lin0\itap0 \rtlch\fcs1 \af0\afs20\alang1025 \ltrch\fcs0 \fs24\lang1024\langfe1024\cgrid\noproof\langnp2057\langfenp2057 _x000d__x000a_\sbasedon0 \snext23 \spriority0 \styrsid15353936 Olang;}{\s24\qc \li0\ri0\sa240\nowidctlpar\wrapdefault\aspalpha\aspnum\faauto\adjustright\rin0\lin0\itap0 \rtlch\fcs1 \af0\afs20\alang1025 \ltrch\fcs0 _x000d__x000a_\i\fs24\lang2057\langfe2057\cgrid\langnp2057\langfenp2057 \sbasedon0 \snext24 \spriority0 \styrsid1535393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5353936 AMNumberTabs;}}{\*\rsidtbl \rsid24658\rsid735077\rsid2892074\rsid4666813\rsid6641733\rsid9636012\rsid9664779\rsid11215221\rsid12154954_x000d__x000a_\rsid14424199\rsid15204470\rsid15285974\rsid15353936\rsid15950462\rsid16324206\rsid16662270}{\mmathPr\mmathFont34\mbrkBin0\mbrkBinSub0\msmallFrac0\mdispDef1\mlMargin0\mrMargin0\mdefJc1\mwrapIndent1440\mintLim0\mnaryLim1}{\info{\author MARTINS Fernanda}_x000d__x000a_{\operator MARTINS Fernanda}{\creatim\yr2018\mo12\dy12\hr14\min24}{\revtim\yr2018\mo12\dy12\hr14\min24}{\version1}{\edmins0}{\nofpages1}{\nofwords44}{\nofchars491}{\*\company European Parliament}{\nofcharsws491}{\vern95}}{\*\xmlnstbl {\xmlns1 http://schem_x000d__x000a_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353936\utinl \fet0{\*\wgrffmtfilter 013f}\ilfomacatclnup0{\*\template C:\\Users\\fmartins\\AppData\\Local\\Temp\\Blank1.dot}{\*\ftnsep \ltrpar \pard\plain \ltrpar_x000d__x000a_\ql \li0\ri0\widctlpar\wrapdefault\aspalpha\aspnum\faauto\adjustright\rin0\lin0\itap0 \rtlch\fcs1 \af0\afs20\alang1025 \ltrch\fcs0 \fs24\lang2057\langfe2057\cgrid\langnp2057\langfenp2057 {\rtlch\fcs1 \af0 \ltrch\fcs0 \insrsid9664779 \chftnsep _x000d__x000a_\par }}{\*\ftnsepc \ltrpar \pard\plain \ltrpar\ql \li0\ri0\widctlpar\wrapdefault\aspalpha\aspnum\faauto\adjustright\rin0\lin0\itap0 \rtlch\fcs1 \af0\afs20\alang1025 \ltrch\fcs0 \fs24\lang2057\langfe2057\cgrid\langnp2057\langfenp2057 {\rtlch\fcs1 \af0 _x000d__x000a_\ltrch\fcs0 \insrsid9664779 \chftnsepc _x000d__x000a_\par }}{\*\aftnsep \ltrpar \pard\plain \ltrpar\ql \li0\ri0\widctlpar\wrapdefault\aspalpha\aspnum\faauto\adjustright\rin0\lin0\itap0 \rtlch\fcs1 \af0\afs20\alang1025 \ltrch\fcs0 \fs24\lang2057\langfe2057\cgrid\langnp2057\langfenp2057 {\rtlch\fcs1 \af0 _x000d__x000a_\ltrch\fcs0 \insrsid9664779 \chftnsep _x000d__x000a_\par }}{\*\aftnsepc \ltrpar \pard\plain \ltrpar\ql \li0\ri0\widctlpar\wrapdefault\aspalpha\aspnum\faauto\adjustright\rin0\lin0\itap0 \rtlch\fcs1 \af0\afs20\alang1025 \ltrch\fcs0 \fs24\lang2057\langfe2057\cgrid\langnp2057\langfenp2057 {\rtlch\fcs1 \af0 _x000d__x000a_\ltrch\fcs0 \insrsid966477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5353936 \rtlch\fcs1 \af0\afs20\alang1025 \ltrch\fcs0 \b\fs24\lang2057\langfe2057\cgrid\langnp2057\langfenp2057 {\rtlch\fcs1 \af0 \ltrch\fcs0 \cs15\b0\v\f1\fs20\cf9\insrsid15353936\charrsid153623 {\*\bkmkstart restartA}&lt;AmendA&gt;}{_x000d__x000a_\rtlch\fcs1 \af0 \ltrch\fcs0 \insrsid15353936\charrsid153623 Amendment\tab \tab }{\rtlch\fcs1 \af0 \ltrch\fcs0 \cs15\b0\v\f1\fs20\cf9\insrsid15353936\charrsid153623 &lt;NumAmA&gt;}{\rtlch\fcs1 \af0 \ltrch\fcs0 \insrsid15353936\charrsid153623 #}{\rtlch\fcs1 _x000d__x000a_\af0 \ltrch\fcs0 \cs16\v\cf15\insrsid15353936\charrsid153623 ENMIENDA@NRAM@}{\rtlch\fcs1 \af0 \ltrch\fcs0 \insrsid15353936\charrsid153623 #}{\rtlch\fcs1 \af0 \ltrch\fcs0 \cs15\b0\v\f1\fs20\cf9\insrsid15353936\charrsid153623 &lt;/NumAmA&gt;}{\rtlch\fcs1 \af0 _x000d__x000a_\ltrch\fcs0 \insrsid15353936\charrsid153623 _x000d__x000a_\par }\pard\plain \ltrpar\s19\ql \li0\ri0\nowidctlpar\wrapdefault\aspalpha\aspnum\faauto\adjustright\rin0\lin0\itap0\pararsid15353936 \rtlch\fcs1 \af0\afs20\alang1025 \ltrch\fcs0 \b\fs24\lang2057\langfe2057\cgrid\langnp2057\langfenp2057 {\rtlch\fcs1 \af0 _x000d__x000a_\ltrch\fcs0 \cs15\b0\v\f1\fs20\cf9\insrsid15353936\charrsid153623 &lt;RepeatBlock-By&gt;}{\rtlch\fcs1 \af0 \ltrch\fcs0 \insrsid15353936\charrsid153623 #}{\rtlch\fcs1 \af0 \ltrch\fcs0 \cs16\v\cf15\insrsid15353936\charrsid153623 &gt;&gt;&gt;@[ZMEMBERSMSG]@}{\rtlch\fcs1 _x000d__x000a_\af0 \ltrch\fcs0 \insrsid15353936\charrsid153623 #}{\rtlch\fcs1 \af0 \ltrch\fcs0 \cs15\b0\v\f1\fs20\cf9\insrsid15353936\charrsid153623 &lt;Members&gt;}{\rtlch\fcs1 \af0 \ltrch\fcs0 \cf10\insrsid15353936\charrsid153623 \u9668\'3f}{\rtlch\fcs1 \af0 \ltrch\fcs0 _x000d__x000a_\insrsid15353936\charrsid153623 #}{\rtlch\fcs1 \af0 \ltrch\fcs0 \cs16\v\cf15\insrsid15353936\charrsid153623 TVTMEMBERS@MEMBERS@}{\rtlch\fcs1 \af0 \ltrch\fcs0 \insrsid15353936\charrsid153623 #}{\rtlch\fcs1 \af0 \ltrch\fcs0 _x000d__x000a_\cf10\insrsid15353936\charrsid153623 \u9658\'3f}{\rtlch\fcs1 \af0 \ltrch\fcs0 \cs15\b0\v\f1\fs20\cf9\insrsid15353936\charrsid153623 &lt;/Members&gt;}{\rtlch\fcs1 \af0 \ltrch\fcs0 \insrsid15353936\charrsid153623 _x000d__x000a_\par }\pard\plain \ltrpar\ql \li0\ri0\widctlpar\wrapdefault\aspalpha\aspnum\faauto\adjustright\rin0\lin0\itap0\pararsid15353936 \rtlch\fcs1 \af0\afs20\alang1025 \ltrch\fcs0 \fs24\lang2057\langfe2057\cgrid\langnp2057\langfenp2057 {\rtlch\fcs1 \af0 \ltrch\fcs0 _x000d__x000a_\cs15\v\f1\fs20\cf9\insrsid15353936\charrsid153623 &lt;AuNomDe&gt;&lt;OptDel&gt;}{\rtlch\fcs1 \af0 \ltrch\fcs0 \insrsid15353936\charrsid153623 #}{\rtlch\fcs1 \af0 \ltrch\fcs0 \cs16\v\cf15\insrsid15353936\charrsid153623 MNU[ONBEHALFYES][NOTAPP]@CHOICE@}{\rtlch\fcs1 _x000d__x000a_\af0 \ltrch\fcs0 \insrsid15353936\charrsid153623 #}{\rtlch\fcs1 \af0 \ltrch\fcs0 \cs15\v\f1\fs20\cf9\insrsid15353936\charrsid153623 &lt;/OptDel&gt;&lt;/AuNomDe&gt;}{\rtlch\fcs1 \af0 \ltrch\fcs0 \insrsid15353936\charrsid153623 _x000d__x000a_\par &lt;&lt;&lt;}{\rtlch\fcs1 \af0 \ltrch\fcs0 \cs15\v\f1\fs20\cf9\insrsid15353936\charrsid153623 &lt;/RepeatBlock-By&gt;}{\rtlch\fcs1 \af0 \ltrch\fcs0 \insrsid15353936\charrsid153623 _x000d__x000a_\par }\pard\plain \ltrpar\s19\ql \li0\ri0\nowidctlpar\wrapdefault\aspalpha\aspnum\faauto\adjustright\rin0\lin0\itap0\pararsid15353936 \rtlch\fcs1 \af0\afs20\alang1025 \ltrch\fcs0 \b\fs24\lang2057\langfe2057\cgrid\langnp2057\langfenp2057 {\rtlch\fcs1 \af0 _x000d__x000a_\ltrch\fcs0 \cs15\b0\v\f1\fs20\cf9\insrsid15353936\charrsid153623 &lt;DocAmend&gt;}{\rtlch\fcs1 \af0 \ltrch\fcs0 \insrsid15353936\charrsid153623 Draft legislative resolution}{\rtlch\fcs1 \af0 \ltrch\fcs0 \cs15\b0\v\f1\fs20\cf9\insrsid15353936\charrsid153623 _x000d__x000a_&lt;/DocAmend&gt;}{\rtlch\fcs1 \af0 \ltrch\fcs0 \insrsid15353936\charrsid153623 _x000d__x000a_\par }{\rtlch\fcs1 \af0 \ltrch\fcs0 \cs15\b0\v\f1\fs20\cf9\insrsid15353936\charrsid153623 &lt;Article&gt;}{\rtlch\fcs1 \af0 \ltrch\fcs0 \cf10\insrsid15353936\charrsid153623 \u9668\'3f}{\rtlch\fcs1 \af0 \ltrch\fcs0 \insrsid15353936\charrsid153623 #}{\rtlch\fcs1 \af0 _x000d__x000a_\ltrch\fcs0 \cs16\v\cf15\insrsid15353936\charrsid153623 TVTRESPART@RESPART@}{\rtlch\fcs1 \af0 \ltrch\fcs0 \insrsid15353936\charrsid153623 #}{\rtlch\fcs1 \af0 \ltrch\fcs0 \cf10\insrsid15353936\charrsid153623 \u9658\'3f}{\rtlch\fcs1 \af0 \ltrch\fcs0 _x000d__x000a_\cs15\b0\v\f1\fs20\cf9\insrsid15353936\charrsid153623 &lt;/Article&gt;}{\rtlch\fcs1 \af0 \ltrch\fcs0 \insrsid15353936\charrsid153623 _x000d__x000a_\par \ltrrow}\trowd \irow0\irowband0\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5353936\charrsid153623 \cell }\pard \ltrpar\ql \li0\ri0\widctlpar\intbl\wrapdefault\aspalpha\aspnum\faauto\adjustright\rin0\lin0 {\rtlch\fcs1 \af0 \ltrch\fcs0 _x000d__x000a_\insrsid15353936\charrsid153623 \trowd \irow0\irowband0\ltrrow\ts11\trqc\trgaph340\trleft-340\trftsWidth1\trftsWidthB3\trftsWidthA3\trpaddl340\trpaddr340\trpaddfl3\trpaddfr3\tblind0\tblindtype3 \clvertalt\clbrdrt\brdrtbl \clbrdrl\brdrtbl \clbrdrb\brdrtbl _x000d__x000a_\clbrdrr\brdrtbl \cltxlrtb\clftsWidth3\clwWidth9752\clshdrawnil \cellx9412\row \ltrrow}\trowd \irow1\irowband1\ltrrow\ts11\trqc\trgaph340\trleft-340\trftsWidth1\trftsWidthB3\trftsWidthA3\trpaddl340\trpaddr340\trpaddfl3\trpaddfr3\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4\qc \li0\ri0\sa240\keepn\nowidctlpar\intbl\wrapdefault\aspalpha\aspnum\faauto\adjustright\rin0\lin0\pararsid10630121 \rtlch\fcs1 \af0\afs20\alang1025 \ltrch\fcs0 _x000d__x000a_\i\fs24\lang2057\langfe2057\cgrid\langnp2057\langfenp2057 {\rtlch\fcs1 \af0 \ltrch\fcs0 \insrsid15353936\charrsid153623 Draft legislative resolution\cell Amendment\cell }\pard\plain \ltrpar_x000d__x000a_\ql \li0\ri0\widctlpar\intbl\wrapdefault\aspalpha\aspnum\faauto\adjustright\rin0\lin0 \rtlch\fcs1 \af0\afs20\alang1025 \ltrch\fcs0 \fs24\lang2057\langfe2057\cgrid\langnp2057\langfenp2057 {\rtlch\fcs1 \af0 \ltrch\fcs0 \insrsid15353936\charrsid153623 _x000d__x000a_\trowd \irow1\irowband1\ltrrow\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7\ql \li0\ri0\sa120\nowidctlpar\intbl\wrapdefault\aspalpha\aspnum\faauto\adjustright\rin0\lin0\pararsid12024389 \rtlch\fcs1 \af0\afs20\alang1025 \ltrch\fcs0 \fs24\lang2057\langfe2057\cgrid\langnp2057\langfenp2057 {\rtlch\fcs1 \af0 \ltrch\fcs0 _x000d__x000a_\insrsid15353936\charrsid153623 ##\cell ##}{\rtlch\fcs1 \af0\afs24 \ltrch\fcs0 \insrsid15353936\charrsid153623 \cell }\pard\plain \ltrpar\ql \li0\ri0\widctlpar\intbl\wrapdefault\aspalpha\aspnum\faauto\adjustright\rin0\lin0 \rtlch\fcs1 _x000d__x000a_\af0\afs20\alang1025 \ltrch\fcs0 \fs24\lang2057\langfe2057\cgrid\langnp2057\langfenp2057 {\rtlch\fcs1 \af0 \ltrch\fcs0 \insrsid15353936\charrsid153623 \trowd \irow2\irowband2\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5353936 \rtlch\fcs1 \af0\afs20\alang1025 \ltrch\fcs0 \fs24\lang1024\langfe1024\cgrid\noproof\langnp2057\langfenp2057 {\rtlch\fcs1 \af0 _x000d__x000a_\ltrch\fcs0 \noproof0\insrsid15353936\charrsid153623 Or. }{\rtlch\fcs1 \af0 \ltrch\fcs0 \cs15\v\f1\fs20\cf9\noproof0\insrsid15353936\charrsid153623 &lt;Original&gt;}{\rtlch\fcs1 \af0 \ltrch\fcs0 \noproof0\insrsid15353936\charrsid153623 #}{\rtlch\fcs1 \af0 _x000d__x000a_\ltrch\fcs0 \cs16\v\cf15\noproof0\insrsid15353936\charrsid153623 KEY(MAIN/LANGMIN)sh@ORLANGMSG@}{\rtlch\fcs1 \af0 \ltrch\fcs0 \noproof0\insrsid15353936\charrsid153623 #}{\rtlch\fcs1 \af0 \ltrch\fcs0 _x000d__x000a_\cs15\v\f1\fs20\cf9\noproof0\insrsid15353936\charrsid153623 &lt;/Original&gt;}{\rtlch\fcs1 \af0 \ltrch\fcs0 \noproof0\insrsid15353936\charrsid153623 _x000d__x000a_\par }\pard\plain \ltrpar\s22\qc \li0\ri0\sb240\sa240\keepn\nowidctlpar\wrapdefault\aspalpha\aspnum\faauto\adjustright\rin0\lin0\itap0\pararsid15353936 \rtlch\fcs1 \af0\afs20\alang1025 \ltrch\fcs0 _x000d__x000a_\i\fs24\lang1024\langfe1024\cgrid\noproof\langnp2057\langfenp2057 {\rtlch\fcs1 \af0 \ltrch\fcs0 \cs15\i0\v\f1\fs20\cf9\noproof0\insrsid15353936\charrsid153623 &lt;TitreJust&gt;}{\rtlch\fcs1 \af0 \ltrch\fcs0 \noproof0\insrsid15353936\charrsid153623 Justification_x000d__x000a_}{\rtlch\fcs1 \af0 \ltrch\fcs0 \cs15\i0\v\f1\fs20\cf9\noproof0\insrsid15353936\charrsid153623 &lt;/TitreJust&gt;}{\rtlch\fcs1 \af0 \ltrch\fcs0 \noproof0\insrsid15353936\charrsid153623 _x000d__x000a_\par }\pard\plain \ltrpar\s21\ql \li0\ri0\sa240\nowidctlpar\wrapdefault\aspalpha\aspnum\faauto\adjustright\rin0\lin0\itap0\pararsid15353936 \rtlch\fcs1 \af0\afs20\alang1025 \ltrch\fcs0 \i\fs24\lang1024\langfe1024\cgrid\noproof\langnp2057\langfenp2057 {_x000d__x000a_\rtlch\fcs1 \af0 \ltrch\fcs0 \cs15\i0\v\f1\fs20\cf9\noproof0\insrsid15353936\charrsid153623 &lt;OptDelPrev&gt;}{\rtlch\fcs1 \af0 \ltrch\fcs0 \noproof0\insrsid15353936\charrsid153623 #}{\rtlch\fcs1 \af0 \ltrch\fcs0 _x000d__x000a_\cs16\v\cf15\noproof0\insrsid15353936\charrsid153623 MNU[TEXTJUSTYES][TEXTJUSTNO]@CHOICE@}{\rtlch\fcs1 \af0 \ltrch\fcs0 \noproof0\insrsid15353936\charrsid153623 #}{\rtlch\fcs1 \af0 \ltrch\fcs0 _x000d__x000a_\cs15\i0\v\f1\fs20\cf9\noproof0\insrsid15353936\charrsid153623 &lt;/OptDelPrev&gt;}{\rtlch\fcs1 \af0 \ltrch\fcs0 \noproof0\insrsid15353936\charrsid153623 _x000d__x000a_\par }\pard\plain \ltrpar\ql \li0\ri0\widctlpar\wrapdefault\aspalpha\aspnum\faauto\adjustright\rin0\lin0\itap0\pararsid15353936 \rtlch\fcs1 \af0\afs20\alang1025 \ltrch\fcs0 \fs24\lang2057\langfe2057\cgrid\langnp2057\langfenp2057 {\rtlch\fcs1 \af0 \ltrch\fcs0 _x000d__x000a_\cs15\v\f1\fs20\cf9\insrsid15353936\charrsid153623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90_x000d__x000a_4f021e92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0000000000000000000}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0\fbidi \froman\fcharset238\fprq2 Times New Roman CE;}{\f281\fbidi \froman\fcharset204\fprq2 Times New Roman Cyr;}_x000d__x000a_{\f283\fbidi \froman\fcharset161\fprq2 Times New Roman Greek;}{\f284\fbidi \froman\fcharset162\fprq2 Times New Roman Tur;}{\f285\fbidi \froman\fcharset177\fprq2 Times New Roman (Hebrew);}{\f286\fbidi \froman\fcharset178\fprq2 Times New Roman (Arabic);}_x000d__x000a_{\f287\fbidi \froman\fcharset186\fprq2 Times New Roman Baltic;}{\f288\fbidi \froman\fcharset163\fprq2 Times New Roman (Vietnamese);}{\f290\fbidi \fswiss\fcharset238\fprq2 Arial CE;}{\f291\fbidi \fswiss\fcharset204\fprq2 Arial Cyr;}_x000d__x000a_{\f293\fbidi \fswiss\fcharset161\fprq2 Arial Greek;}{\f294\fbidi \fswiss\fcharset162\fprq2 Arial Tur;}{\f295\fbidi \fswiss\fcharset177\fprq2 Arial (Hebrew);}{\f296\fbidi \fswiss\fcharset178\fprq2 Arial (Arabic);}_x000d__x000a_{\f297\fbidi \fswiss\fcharset186\fprq2 Arial Baltic;}{\f298\fbidi \fswiss\fcharset163\fprq2 Arial (Vietnamese);}{\f620\fbidi \froman\fcharset238\fprq2 Cambria Math CE;}{\f621\fbidi \froman\fcharset204\fprq2 Cambria Math Cyr;}_x000d__x000a_{\f623\fbidi \froman\fcharset161\fprq2 Cambria Math Greek;}{\f624\fbidi \froman\fcharset162\fprq2 Cambria Math Tur;}{\f627\fbidi \froman\fcharset186\fprq2 Cambria Math Baltic;}{\f62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342964 HideTWBExt;}{\*\cs16 \additive \v\cf15 \spriority0 \styrsid11342964 HideTWBInt;}{\s17\ql \li0\ri0\sa120\nowidctlpar\wrapdefault\aspalpha\aspnum\faauto\adjustright\rin0\lin0\itap0 _x000d__x000a_\rtlch\fcs1 \af0\afs20\alang1025 \ltrch\fcs0 \fs24\lang2057\langfe2057\cgrid\langnp2057\langfenp2057 \sbasedon0 \snext17 \slink18 \spriority0 \styrsid11342964 Normal6;}{\*\cs18 \additive \fs24 \slink17 \slocked \spriority0 \styrsid11342964 Normal6 Char;}{_x000d__x000a_\s19\ql \li0\ri0\nowidctlpar\wrapdefault\aspalpha\aspnum\faauto\adjustright\rin0\lin0\itap0 \rtlch\fcs1 \af0\afs20\alang1025 \ltrch\fcs0 \b\fs24\lang2057\langfe2057\cgrid\langnp2057\langfenp2057 \sbasedon0 \snext19 \slink20 \spriority0 \styrsid11342964 _x000d__x000a_NormalBold;}{\*\cs20 \additive \b\fs24 \slink19 \slocked \spriority0 \styrsid11342964 NormalBold Char;}{\s21\ql \li0\ri0\sa240\nowidctlpar\wrapdefault\aspalpha\aspnum\faauto\adjustright\rin0\lin0\itap0 \rtlch\fcs1 \af0\afs20\alang1025 \ltrch\fcs0 _x000d__x000a_\i\fs24\lang1024\langfe1024\cgrid\noproof\langnp2057\langfenp2057 \sbasedon0 \snext21 \spriority0 \styrsid11342964 Normal12Italic;}{\s22\qc \li0\ri0\sb240\nowidctlpar\wrapdefault\aspalpha\aspnum\faauto\adjustright\rin0\lin0\itap0 \rtlch\fcs1 _x000d__x000a_\af0\afs20\alang1025 \ltrch\fcs0 \i\fs24\lang2057\langfe2057\cgrid\langnp2057\langfenp2057 \sbasedon0 \snext22 \spriority0 \styrsid11342964 CrossRef;}{_x000d__x000a_\s23\qc \li0\ri0\sb240\sa240\keepn\nowidctlpar\wrapdefault\aspalpha\aspnum\faauto\adjustright\rin0\lin0\itap0 \rtlch\fcs1 \af0\afs20\alang1025 \ltrch\fcs0 \i\fs24\lang1024\langfe1024\cgrid\noproof\langnp2057\langfenp2057 _x000d__x000a_\sbasedon0 \snext0 \spriority0 \styrsid11342964 JustificationTitle;}{\s24\qr \li0\ri0\sb240\sa240\nowidctlpar\wrapdefault\aspalpha\aspnum\faauto\adjustright\rin0\lin0\itap0 \rtlch\fcs1 \af0\afs20\alang1025 \ltrch\fcs0 _x000d__x000a_\fs24\lang1024\langfe1024\cgrid\noproof\langnp2057\langfenp2057 \sbasedon0 \snext24 \spriority0 \styrsid11342964 Olang;}{\s25\qc \li0\ri0\sa240\nowidctlpar\wrapdefault\aspalpha\aspnum\faauto\adjustright\rin0\lin0\itap0 \rtlch\fcs1 \af0\afs20\alang1025 _x000d__x000a_\ltrch\fcs0 \i\fs24\lang2057\langfe2057\cgrid\langnp2057\langfenp2057 \sbasedon0 \snext25 \spriority0 \styrsid11342964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1342964 AMNumberTabs;}}{\*\rsidtbl \rsid24658\rsid735077\rsid2892074\rsid4666813\rsid6641733\rsid9636012\rsid11215221\rsid11342964\rsid12154954_x000d__x000a_\rsid14424199\rsid14437488\rsid15204470\rsid15285974\rsid15950462\rsid16324206\rsid16662270}{\mmathPr\mmathFont34\mbrkBin0\mbrkBinSub0\msmallFrac0\mdispDef1\mlMargin0\mrMargin0\mdefJc1\mwrapIndent1440\mintLim0\mnaryLim1}{\info{\author MARTINS Fernanda}_x000d__x000a_{\operator MARTINS Fernanda}{\creatim\yr2018\mo12\dy12\hr14\min24}{\revtim\yr2018\mo12\dy12\hr14\min24}{\version1}{\edmins0}{\nofpages1}{\nofwords70}{\nofchars769}{\*\company European Parliament}{\nofcharsws770}{\vern95}}{\*\xmlnstbl {\xmlns1 http://schem_x000d__x000a_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342964\utinl \fet0{\*\wgrffmtfilter 013f}\ilfomacatclnup0{\*\template C:\\Users\\fmartins\\AppData\\Local\\Temp\\Blank1.dot}{\*\ftnsep \ltrpar \pard\plain \ltrpar_x000d__x000a_\ql \li0\ri0\widctlpar\wrapdefault\aspalpha\aspnum\faauto\adjustright\rin0\lin0\itap0 \rtlch\fcs1 \af0\afs20\alang1025 \ltrch\fcs0 \fs24\lang2057\langfe2057\cgrid\langnp2057\langfenp2057 {\rtlch\fcs1 \af0 \ltrch\fcs0 \insrsid14437488 \chftnsep _x000d__x000a_\par }}{\*\ftnsepc \ltrpar \pard\plain \ltrpar\ql \li0\ri0\widctlpar\wrapdefault\aspalpha\aspnum\faauto\adjustright\rin0\lin0\itap0 \rtlch\fcs1 \af0\afs20\alang1025 \ltrch\fcs0 \fs24\lang2057\langfe2057\cgrid\langnp2057\langfenp2057 {\rtlch\fcs1 \af0 _x000d__x000a_\ltrch\fcs0 \insrsid14437488 \chftnsepc _x000d__x000a_\par }}{\*\aftnsep \ltrpar \pard\plain \ltrpar\ql \li0\ri0\widctlpar\wrapdefault\aspalpha\aspnum\faauto\adjustright\rin0\lin0\itap0 \rtlch\fcs1 \af0\afs20\alang1025 \ltrch\fcs0 \fs24\lang2057\langfe2057\cgrid\langnp2057\langfenp2057 {\rtlch\fcs1 \af0 _x000d__x000a_\ltrch\fcs0 \insrsid14437488 \chftnsep _x000d__x000a_\par }}{\*\aftnsepc \ltrpar \pard\plain \ltrpar\ql \li0\ri0\widctlpar\wrapdefault\aspalpha\aspnum\faauto\adjustright\rin0\lin0\itap0 \rtlch\fcs1 \af0\afs20\alang1025 \ltrch\fcs0 \fs24\lang2057\langfe2057\cgrid\langnp2057\langfenp2057 {\rtlch\fcs1 \af0 _x000d__x000a_\ltrch\fcs0 \insrsid14437488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1342964 \rtlch\fcs1 \af0\afs20\alang1025 \ltrch\fcs0 \b\fs24\lang2057\langfe2057\cgrid\langnp2057\langfenp2057 {\rtlch\fcs1 \af0 \ltrch\fcs0 \cs15\b0\v\f1\fs20\cf9\insrsid11342964\charrsid153623 {\*\bkmkstart restartB}&lt;AmendB&gt;}{_x000d__x000a_\rtlch\fcs1 \af0 \ltrch\fcs0 \insrsid11342964\charrsid153623 Amendment\tab \tab }{\rtlch\fcs1 \af0 \ltrch\fcs0 \cs15\b0\v\f1\fs20\cf9\insrsid11342964\charrsid153623 &lt;NumAmB&gt;}{\rtlch\fcs1 \af0 \ltrch\fcs0 \insrsid11342964\charrsid153623 #}{\rtlch\fcs1 _x000d__x000a_\af0 \ltrch\fcs0 \cs16\v\cf15\insrsid11342964\charrsid153623 ENMIENDA@NRAM@}{\rtlch\fcs1 \af0 \ltrch\fcs0 \insrsid11342964\charrsid153623 #}{\rtlch\fcs1 \af0 \ltrch\fcs0 \cs15\b0\v\f1\fs20\cf9\insrsid11342964\charrsid153623 &lt;/NumAmB&gt;}{\rtlch\fcs1 \af0 _x000d__x000a_\ltrch\fcs0 \insrsid11342964\charrsid153623 _x000d__x000a_\par }\pard\plain \ltrpar\s19\ql \li0\ri0\nowidctlpar\wrapdefault\aspalpha\aspnum\faauto\adjustright\rin0\lin0\itap0\pararsid11342964 \rtlch\fcs1 \af0\afs20\alang1025 \ltrch\fcs0 \b\fs24\lang2057\langfe2057\cgrid\langnp2057\langfenp2057 {\rtlch\fcs1 \af0 _x000d__x000a_\ltrch\fcs0 \cs15\b0\v\f1\fs20\cf9\insrsid11342964\charrsid153623 &lt;RepeatBlock-By&gt;}{\rtlch\fcs1 \af0 \ltrch\fcs0 \insrsid11342964\charrsid153623 #}{\rtlch\fcs1 \af0 \ltrch\fcs0 \cs16\v\cf15\insrsid11342964\charrsid153623 &gt;&gt;&gt;@[ZMEMBERSMSG]@}{\rtlch\fcs1 _x000d__x000a_\af0 \ltrch\fcs0 \insrsid11342964\charrsid153623 #}{\rtlch\fcs1 \af0 \ltrch\fcs0 \cs15\b0\v\f1\fs20\cf9\insrsid11342964\charrsid153623 &lt;Members&gt;}{\rtlch\fcs1 \af0 \ltrch\fcs0 \cf10\insrsid11342964\charrsid153623 \u9668\'3f}{\rtlch\fcs1 \af0 \ltrch\fcs0 _x000d__x000a_\insrsid11342964\charrsid153623 #}{\rtlch\fcs1 \af0 \ltrch\fcs0 \cs16\v\cf15\insrsid11342964\charrsid153623 TVTMEMBERS@MEMBERS@}{\rtlch\fcs1 \af0 \ltrch\fcs0 \insrsid11342964\charrsid153623 #}{\rtlch\fcs1 \af0 \ltrch\fcs0 _x000d__x000a_\cf10\insrsid11342964\charrsid153623 \u9658\'3f}{\rtlch\fcs1 \af0 \ltrch\fcs0 \cs15\b0\v\f1\fs20\cf9\insrsid11342964\charrsid153623 &lt;/Members&gt;}{\rtlch\fcs1 \af0 \ltrch\fcs0 \insrsid11342964\charrsid153623 _x000d__x000a_\par }\pard\plain \ltrpar\ql \li0\ri0\widctlpar\wrapdefault\aspalpha\aspnum\faauto\adjustright\rin0\lin0\itap0\pararsid11342964 \rtlch\fcs1 \af0\afs20\alang1025 \ltrch\fcs0 \fs24\lang2057\langfe2057\cgrid\langnp2057\langfenp2057 {\rtlch\fcs1 \af0 \ltrch\fcs0 _x000d__x000a_\cs15\v\f1\fs20\cf9\insrsid11342964\charrsid153623 &lt;AuNomDe&gt;&lt;OptDel&gt;}{\rtlch\fcs1 \af0 \ltrch\fcs0 \insrsid11342964\charrsid153623 #}{\rtlch\fcs1 \af0 \ltrch\fcs0 \cs16\v\cf15\insrsid11342964\charrsid153623 MNU[ONBEHALFYES][NOTAPP]@CHOICE@}{\rtlch\fcs1 _x000d__x000a_\af0 \ltrch\fcs0 \insrsid11342964\charrsid153623 #}{\rtlch\fcs1 \af0 \ltrch\fcs0 \cs15\v\f1\fs20\cf9\insrsid11342964\charrsid153623 &lt;/OptDel&gt;&lt;/AuNomDe&gt;}{\rtlch\fcs1 \af0 \ltrch\fcs0 \insrsid11342964\charrsid153623 _x000d__x000a_\par &lt;&lt;&lt;}{\rtlch\fcs1 \af0 \ltrch\fcs0 \cs15\v\f1\fs20\cf9\insrsid11342964\charrsid153623 &lt;/RepeatBlock-By&gt;}{\rtlch\fcs1 \af0 \ltrch\fcs0 \insrsid11342964\charrsid153623 _x000d__x000a_\par }\pard\plain \ltrpar\s19\ql \li0\ri0\nowidctlpar\wrapdefault\aspalpha\aspnum\faauto\adjustright\rin0\lin0\itap0\pararsid11342964 \rtlch\fcs1 \af0\afs20\alang1025 \ltrch\fcs0 \b\fs24\lang2057\langfe2057\cgrid\langnp2057\langfenp2057 {\rtlch\fcs1 \af0 _x000d__x000a_\ltrch\fcs0 \cs15\b0\v\f1\fs20\cf9\insrsid11342964\charrsid153623 &lt;DocAmend&gt;}{\rtlch\fcs1 \af0 \ltrch\fcs0 \insrsid11342964\charrsid153623 #}{\rtlch\fcs1 \af0 \ltrch\fcs0 \cs16\v\cf15\insrsid11342964\charrsid153623 _x000d__x000a_MNU[OPTPROPOSALCOD][OPTPROPOSALCNS][OPTPROPOSALNLE]@CHOICE@CODEMNU}{\rtlch\fcs1 \af0 \ltrch\fcs0 \insrsid11342964\charrsid153623 #}{\rtlch\fcs1 \af0 \ltrch\fcs0 \cs15\b0\v\f1\fs20\cf9\insrsid11342964\charrsid153623 &lt;/DocAmend&gt;}{\rtlch\fcs1 \af0 _x000d__x000a_\ltrch\fcs0 \insrsid11342964\charrsid153623 _x000d__x000a_\par }\pard \ltrpar\s19\ql \li0\ri0\keepn\nowidctlpar\wrapdefault\aspalpha\aspnum\faauto\adjustright\rin0\lin0\itap0\pararsid11342964 {\rtlch\fcs1 \af0 \ltrch\fcs0 \cs15\b0\v\f1\fs20\cf9\insrsid11342964\charrsid153623 &lt;Article&gt;}{\rtlch\fcs1 \af0 \ltrch\fcs0 _x000d__x000a_\insrsid11342964\charrsid153623 #}{\rtlch\fcs1 \af0 \ltrch\fcs0 \cs16\v\cf15\insrsid11342964\charrsid153623 MNU[AMACTPARTYES][AMACTPARTNO]@CHOICE@AMACTMNU}{\rtlch\fcs1 \af0 \ltrch\fcs0 \insrsid11342964\charrsid153623 #}{\rtlch\fcs1 \af0 \ltrch\fcs0 _x000d__x000a_\cs15\b0\v\f1\fs20\cf9\insrsid11342964\charrsid153623 &lt;/Article&gt;}{\rtlch\fcs1 \af0 \ltrch\fcs0 \insrsid11342964\charrsid153623 _x000d__x000a_\par }\pard\plain \ltrpar\ql \li0\ri0\keepn\widctlpar\wrapdefault\aspalpha\aspnum\faauto\adjustright\rin0\lin0\itap0\pararsid11342964 \rtlch\fcs1 \af0\afs20\alang1025 \ltrch\fcs0 \fs24\lang2057\langfe2057\cgrid\langnp2057\langfenp2057 {\rtlch\fcs1 \af0 _x000d__x000a_\ltrch\fcs0 \cs15\v\f1\fs20\cf9\insrsid11342964\charrsid153623 &lt;DocAmend2&gt;&lt;OptDel&gt;}{\rtlch\fcs1 \af0 \ltrch\fcs0 \insrsid11342964\charrsid153623 #}{\rtlch\fcs1 \af0 \ltrch\fcs0 \cs16\v\cf15\insrsid11342964\charrsid153623 _x000d__x000a_MNU[OPTNRACTYES][NOTAPP]@CHOICE@AMACTMNU}{\rtlch\fcs1 \af0 \ltrch\fcs0 \insrsid11342964\charrsid153623 #}{\rtlch\fcs1 \af0 \ltrch\fcs0 \cs15\v\f1\fs20\cf9\insrsid11342964\charrsid153623 &lt;/OptDel&gt;&lt;/DocAmend2&gt;}{\rtlch\fcs1 \af0 \ltrch\fcs0 _x000d__x000a_\insrsid11342964\charrsid153623 _x000d__x000a_\par }\pard \ltrpar\ql \li0\ri0\widctlpar\wrapdefault\aspalpha\aspnum\faauto\adjustright\rin0\lin0\itap0\pararsid11342964 {\rtlch\fcs1 \af0 \ltrch\fcs0 \cs15\v\f1\fs20\cf9\insrsid11342964\charrsid153623 &lt;Article2&gt;&lt;OptDel&gt;}{\rtlch\fcs1 \af0 \ltrch\fcs0 _x000d__x000a_\insrsid11342964\charrsid153623 #}{\rtlch\fcs1 \af0 \ltrch\fcs0 \cs16\v\cf15\insrsid11342964\charrsid153623 MNU[OPTACTPARTYES][NOTAPP]@CHOICE@AMACTMNU}{\rtlch\fcs1 \af0 \ltrch\fcs0 \insrsid11342964\charrsid153623 #}{\rtlch\fcs1 \af0 \ltrch\fcs0 _x000d__x000a_\cs15\v\f1\fs20\cf9\insrsid11342964\charrsid153623 &lt;/OptDel&gt;&lt;/Article2&gt;}{\rtlch\fcs1 \af0 \ltrch\fcs0 \insrsid11342964\charrsid153623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10630121 {\rtlch\fcs1 \af0 \ltrch\fcs0 \insrsid11342964\charrsid153623 _x000d__x000a_\cell }\pard \ltrpar\ql \li0\ri0\widctlpar\intbl\wrapdefault\aspalpha\aspnum\faauto\adjustright\rin0\lin0 {\rtlch\fcs1 \af0 \ltrch\fcs0 \insrsid11342964\charrsid153623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0630121 \rtlch\fcs1 \af0\afs20\alang1025 \ltrch\fcs0 \i\fs24\lang2057\langfe2057\cgrid\langnp2057\langfenp2057 {_x000d__x000a_\rtlch\fcs1 \af0 \ltrch\fcs0 \insrsid11342964\charrsid153623 #}{\rtlch\fcs1 \af0 \ltrch\fcs0 \cs16\v\cf15\insrsid11342964\charrsid153623 MNU[OPTLEFTAMACT][LEFTPROP]@CHOICE@AMACTMNU}{\rtlch\fcs1 \af0 \ltrch\fcs0 \insrsid11342964\charrsid153623 #\cell _x000d__x000a_Amendment\cell }\pard\plain \ltrpar\ql \li0\ri0\widctlpar\intbl\wrapdefault\aspalpha\aspnum\faauto\adjustright\rin0\lin0 \rtlch\fcs1 \af0\afs20\alang1025 \ltrch\fcs0 \fs24\lang2057\langfe2057\cgrid\langnp2057\langfenp2057 {\rtlch\fcs1 \af0 \ltrch\fcs0 _x000d__x000a_\insrsid11342964\charrsid153623 \trowd \irow1\irowband1\ltrrow\ts11\trqc\trgaph340\trleft-340\trftsWidth3\trwWidth9752\trftsWidthB3\trftsWidthA3\trpaddl340\trpaddr340\trpaddfl3\trpaddfr3\tblind0\tblindtype3 \clvertalt\clbrdrt\brdrtbl \clbrdrl\brdrtbl _x000d__x000a_\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12024389 \rtlch\fcs1 \af0\afs20\alang1025 \ltrch\fcs0 \fs24\lang2057\langfe2057\cgrid\langnp2057\langfenp2057 {\rtlch\fcs1 \af0 _x000d__x000a_\ltrch\fcs0 \insrsid11342964\charrsid153623 ##\cell ##}{\rtlch\fcs1 \af0\afs24 \ltrch\fcs0 \insrsid11342964\charrsid153623 \cell }\pard\plain \ltrpar\ql \li0\ri0\widctlpar\intbl\wrapdefault\aspalpha\aspnum\faauto\adjustright\rin0\lin0 \rtlch\fcs1 _x000d__x000a_\af0\afs20\alang1025 \ltrch\fcs0 \fs24\lang2057\langfe2057\cgrid\langnp2057\langfenp2057 {\rtlch\fcs1 \af0 \ltrch\fcs0 \insrsid11342964\charrsid153623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1342964 \rtlch\fcs1 \af0\afs20\alang1025 \ltrch\fcs0 \fs24\lang1024\langfe1024\cgrid\noproof\langnp2057\langfenp2057 {\rtlch\fcs1 \af0 _x000d__x000a_\ltrch\fcs0 \noproof0\insrsid11342964\charrsid153623 Or. }{\rtlch\fcs1 \af0 \ltrch\fcs0 \cs15\v\f1\fs20\cf9\noproof0\insrsid11342964\charrsid153623 &lt;Original&gt;}{\rtlch\fcs1 \af0 \ltrch\fcs0 \noproof0\insrsid11342964\charrsid153623 #}{\rtlch\fcs1 \af0 _x000d__x000a_\ltrch\fcs0 \cs16\v\cf15\noproof0\insrsid11342964\charrsid153623 KEY(MAIN/LANGMIN)sh@ORLANGMSG@}{\rtlch\fcs1 \af0 \ltrch\fcs0 \noproof0\insrsid11342964\charrsid153623 #}{\rtlch\fcs1 \af0 \ltrch\fcs0 _x000d__x000a_\cs15\v\f1\fs20\cf9\noproof0\insrsid11342964\charrsid153623 &lt;/Original&gt;}{\rtlch\fcs1 \af0 \ltrch\fcs0 \noproof0\insrsid11342964\charrsid153623 _x000d__x000a_\par }\pard\plain \ltrpar\s22\qc \li0\ri0\sb240\nowidctlpar\wrapdefault\aspalpha\aspnum\faauto\adjustright\rin0\lin0\itap0\pararsid11342964 \rtlch\fcs1 \af0\afs20\alang1025 \ltrch\fcs0 \i\fs24\lang2057\langfe2057\cgrid\langnp2057\langfenp2057 {\rtlch\fcs1 _x000d__x000a_\af0 \ltrch\fcs0 \cs15\i0\v\f1\fs20\cf9\insrsid11342964\charrsid153623 &lt;OptDel&gt;}{\rtlch\fcs1 \af0 \ltrch\fcs0 \insrsid11342964\charrsid153623 #}{\rtlch\fcs1 \af0 \ltrch\fcs0 \cs16\v\cf15\insrsid11342964\charrsid153623 MNU[CROSSREFNO][CROSSREFYES]@CHOICE@}_x000d__x000a_{\rtlch\fcs1 \af0 \ltrch\fcs0 \insrsid11342964\charrsid153623 #}{\rtlch\fcs1 \af0 \ltrch\fcs0 \cs15\i0\v\f1\fs20\cf9\insrsid11342964\charrsid153623 &lt;/OptDel&gt;}{\rtlch\fcs1 \af0 \ltrch\fcs0 \insrsid11342964\charrsid153623 _x000d__x000a_\par }\pard\plain \ltrpar\s23\qc \li0\ri0\sb240\sa240\keepn\nowidctlpar\wrapdefault\aspalpha\aspnum\faauto\adjustright\rin0\lin0\itap0\pararsid11342964 \rtlch\fcs1 \af0\afs20\alang1025 \ltrch\fcs0 _x000d__x000a_\i\fs24\lang1024\langfe1024\cgrid\noproof\langnp2057\langfenp2057 {\rtlch\fcs1 \af0 \ltrch\fcs0 \cs15\i0\v\f1\fs20\cf9\noproof0\insrsid11342964\charrsid153623 &lt;TitreJust&gt;}{\rtlch\fcs1 \af0 \ltrch\fcs0 \noproof0\insrsid11342964\charrsid153623 Justification_x000d__x000a_}{\rtlch\fcs1 \af0 \ltrch\fcs0 \cs15\i0\v\f1\fs20\cf9\noproof0\insrsid11342964\charrsid153623 &lt;/TitreJust&gt;}{\rtlch\fcs1 \af0 \ltrch\fcs0 \noproof0\insrsid11342964\charrsid153623 _x000d__x000a_\par }\pard\plain \ltrpar\s21\ql \li0\ri0\sa240\nowidctlpar\wrapdefault\aspalpha\aspnum\faauto\adjustright\rin0\lin0\itap0\pararsid11342964 \rtlch\fcs1 \af0\afs20\alang1025 \ltrch\fcs0 \i\fs24\lang1024\langfe1024\cgrid\noproof\langnp2057\langfenp2057 {_x000d__x000a_\rtlch\fcs1 \af0 \ltrch\fcs0 \cs15\i0\v\f1\fs20\cf9\noproof0\insrsid11342964\charrsid153623 &lt;OptDelPrev&gt;}{\rtlch\fcs1 \af0 \ltrch\fcs0 \noproof0\insrsid11342964\charrsid153623 #}{\rtlch\fcs1 \af0 \ltrch\fcs0 _x000d__x000a_\cs16\v\cf15\noproof0\insrsid11342964\charrsid153623 MNU[TEXTJUSTYES][TEXTJUSTNO]@CHOICE@}{\rtlch\fcs1 \af0 \ltrch\fcs0 \noproof0\insrsid11342964\charrsid153623 #}{\rtlch\fcs1 \af0 \ltrch\fcs0 _x000d__x000a_\cs15\i0\v\f1\fs20\cf9\noproof0\insrsid11342964\charrsid153623 &lt;/OptDelPrev&gt;}{\rtlch\fcs1 \af0 \ltrch\fcs0 \noproof0\insrsid11342964\charrsid153623 _x000d__x000a_\par }\pard\plain \ltrpar\ql \li0\ri0\widctlpar\wrapdefault\aspalpha\aspnum\faauto\adjustright\rin0\lin0\itap0\pararsid11342964 \rtlch\fcs1 \af0\afs20\alang1025 \ltrch\fcs0 \fs24\lang2057\langfe2057\cgrid\langnp2057\langfenp2057 {\rtlch\fcs1 \af0 \ltrch\fcs0 _x000d__x000a_\cs15\v\f1\fs20\cf9\insrsid11342964\charrsid153623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96_x000d__x000a_cf021e92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5625260 HideTWBExt;}{\s16\ql \li0\ri0\sa120\nowidctlpar\wrapdefault\aspalpha\aspnum\faauto\adjustright\rin0\lin0\itap0 \rtlch\fcs1 \af0\afs20\alang1025 \ltrch\fcs0 _x000d__x000a_\fs24\lang2057\langfe2057\cgrid\langnp2057\langfenp2057 \sbasedon0 \snext16 \slink17 \spriority0 \styrsid15625260 Normal6;}{\*\cs17 \additive \fs24\lang2057\langfe2057\langnp2057\langfenp2057 \slink16 \slocked \spriority0 \styrsid15625260 Normal6 Char;}{_x000d__x000a_\s18\ql \li0\ri0\nowidctlpar\wrapdefault\aspalpha\aspnum\faauto\adjustright\rin0\lin0\itap0 \rtlch\fcs1 \af0\afs20\alang1025 \ltrch\fcs0 \b\fs24\lang2057\langfe2057\cgrid\langnp2057\langfenp2057 \sbasedon0 \snext18 \slink19 \spriority0 \styrsid15625260 _x000d__x000a_NormalBold;}{\*\cs19 \additive \b\fs24\lang2057\langfe2057\langnp2057\langfenp2057 \slink18 \slocked \spriority0 \styrsid15625260 NormalBold Char;}{\s20\ql \li0\ri0\sa240\nowidctlpar\wrapdefault\aspalpha\aspnum\faauto\adjustright\rin0\lin0\itap0 _x000d__x000a_\rtlch\fcs1 \af0\afs20\alang1025 \ltrch\fcs0 \i\fs24\lang1024\langfe1024\cgrid\noproof\langnp2057\langfenp2057 \sbasedon0 \snext20 \spriority0 \styrsid15625260 Normal12Italic;}{_x000d__x000a_\s21\qc \li0\ri0\sb240\sa240\keepn\nowidctlpar\wrapdefault\aspalpha\aspnum\faauto\adjustright\rin0\lin0\itap0 \rtlch\fcs1 \af0\afs20\alang1025 \ltrch\fcs0 \i\fs24\lang1024\langfe1024\cgrid\noproof\langnp2057\langfenp2057 _x000d__x000a_\sbasedon0 \snext0 \spriority0 \styrsid15625260 JustificationTitle;}{\s22\qr \li0\ri0\sb240\sa240\nowidctlpar\wrapdefault\aspalpha\aspnum\faauto\adjustright\rin0\lin0\itap0 \rtlch\fcs1 \af0\afs20\alang1025 \ltrch\fcs0 _x000d__x000a_\fs24\lang1024\langfe1024\cgrid\noproof\langnp2057\langfenp2057 \sbasedon0 \snext22 \spriority0 \styrsid15625260 Olang;}{\s23\qc \li0\ri0\sa240\nowidctlpar\wrapdefault\aspalpha\aspnum\faauto\adjustright\rin0\lin0\itap0 \rtlch\fcs1 \af0\afs20\alang1025 _x000d__x000a_\ltrch\fcs0 \i\fs24\lang2057\langfe2057\cgrid\langnp2057\langfenp2057 \sbasedon0 \snext23 \spriority0 \styrsid15625260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priority0 \styrsid15625260 AMNumberTabs;}}{\*\rsidtbl \rsid24658\rsid735077\rsid2892074\rsid4666813\rsid6641733\rsid9636012\rsid11215221\rsid12154954\rsid14424199_x000d__x000a_\rsid15204470\rsid15285974\rsid15625260\rsid15950462\rsid16324206\rsid16662270\rsid16743564}{\mmathPr\mmathFont34\mbrkBin0\mbrkBinSub0\msmallFrac0\mdispDef1\mlMargin0\mrMargin0\mdefJc1\mwrapIndent1440\mintLim0\mnaryLim1}{\info{\author FELIX Karina}_x000d__x000a_{\operator FELIX Karina}{\creatim\yr2015\mo5\dy8\hr15\min23}{\revtim\yr2015\mo5\dy8\hr15\min23}{\version1}{\edmins0}{\nofpages1}{\nofwords62}{\nofchars342}{\*\company European Parliament}{\nofcharsws403}{\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625260\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6743564 \chftnsep _x000d__x000a_\par }}{\*\ftnsepc \ltrpar \pard\plain \ltrpar\ql \li0\ri0\widctlpar\wrapdefault\aspalpha\aspnum\faauto\adjustright\rin0\lin0\itap0 \rtlch\fcs1 \af0\afs20\alang1025 \ltrch\fcs0 \fs24\lang2057\langfe2057\cgrid\langnp2057\langfenp2057 {\rtlch\fcs1 \af0 _x000d__x000a_\ltrch\fcs0 \insrsid16743564 \chftnsepc _x000d__x000a_\par }}{\*\aftnsep \ltrpar \pard\plain \ltrpar\ql \li0\ri0\widctlpar\wrapdefault\aspalpha\aspnum\faauto\adjustright\rin0\lin0\itap0 \rtlch\fcs1 \af0\afs20\alang1025 \ltrch\fcs0 \fs24\lang2057\langfe2057\cgrid\langnp2057\langfenp2057 {\rtlch\fcs1 \af0 _x000d__x000a_\ltrch\fcs0 \insrsid16743564 \chftnsep _x000d__x000a_\par }}{\*\aftnsepc \ltrpar \pard\plain \ltrpar\ql \li0\ri0\widctlpar\wrapdefault\aspalpha\aspnum\faauto\adjustright\rin0\lin0\itap0 \rtlch\fcs1 \af0\afs20\alang1025 \ltrch\fcs0 \fs24\lang2057\langfe2057\cgrid\langnp2057\langfenp2057 {\rtlch\fcs1 \af0 _x000d__x000a_\ltrch\fcs0 \insrsid1674356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4\ql \li0\ri0\sb240\keepn\nowidctlpar\tx879\tx936\tx1021\tx1077\tx1134\tx1191\tx1247\tx1304\tx1361\tx1418\tx1474\tx1531\tx1588\tx1644\tx1701\tx1758\tx1814\tx1871\tx2070\tx2126\tx3374\tx3430\wrapdefault\aspalpha\aspnum\faauto\adjustright\rin0_x000d__x000a_\lin0\itap0\pararsid6905025 \rtlch\fcs1 \af0\afs20\alang1025 \ltrch\fcs0 \b\fs24\lang2057\langfe2057\cgrid\langnp2057\langfenp2057 {\rtlch\fcs1 \af0 \ltrch\fcs0 \cs15\b0\v\f1\fs20\cf9\insrsid15625260\charrsid946740 {\*\bkmkstart restartA}&lt;AmendA&gt;}{_x000d__x000a_\rtlch\fcs1 \af0 \ltrch\fcs0 \insrsid15625260\charrsid946740 [ZAMENDMENT]\tab \tab }{\rtlch\fcs1 \af0 \ltrch\fcs0 \cs15\b0\v\f1\fs20\cf9\insrsid15625260\charrsid946740 &lt;NumAmA&gt;}{\rtlch\fcs1 \af0 \ltrch\fcs0 \insrsid15625260\charrsid946740 [ZNRAM]}{_x000d__x000a_\rtlch\fcs1 \af0 \ltrch\fcs0 \cs15\b0\v\f1\fs20\cf9\insrsid15625260\charrsid946740 &lt;/NumAmA&gt;}{\rtlch\fcs1 \af0 \ltrch\fcs0 \insrsid15625260\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15625260\charrsid14699840 &lt;RepeatBlock-By&gt;}{\rtlch\fcs1 \af0 \ltrch\fcs0 \lang1024\langfe1024\noproof\insrsid15625260\charrsid14699840 [RepeatMembers]}{\rtlch\fcs1 \af0 \ltrch\fcs0 _x000d__x000a_\cs15\b0\v\f1\fs20\cf9\lang1024\langfe1024\noproof\insrsid15625260\charrsid14699840 &lt;Members&gt;}{\rtlch\fcs1 \af0 \ltrch\fcs0 \insrsid15625260\charrsid14699840 [ZMEMBERS]}{\rtlch\fcs1 \af0 \ltrch\fcs0 _x000d__x000a_\cs15\b0\v\f1\fs20\cf9\lang1024\langfe1024\noproof\insrsid15625260\charrsid14699840 &lt;/Members&gt;}{\rtlch\fcs1 \af0 \ltrch\fcs0 \insrsid15625260\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15625260\charrsid14699840 &lt;AuNomDe&gt;&lt;OptDel&gt;}{\rtlch\fcs1 \af0 \ltrch\fcs0 \lang1024\langfe1024\noproof\insrsid15625260\charrsid14699840 [ZONBEHALF]}{\rtlch\fcs1 \af0 \ltrch\fcs0 _x000d__x000a_\cs15\v\f1\fs20\cf9\lang1024\langfe1024\noproof\insrsid15625260\charrsid14699840 &lt;/OptDel&gt;&lt;/AuNomDe&gt;}{\rtlch\fcs1 \af0 \ltrch\fcs0 \insrsid15625260\charrsid14699840 _x000d__x000a_\par &lt;&lt;&lt;}{\rtlch\fcs1 \af0 \ltrch\fcs0 \cs15\v\f1\fs20\cf9\lang1024\langfe1024\noproof\insrsid15625260\charrsid14699840 &lt;/RepeatBlock-By&gt;}{\rtlch\fcs1 \af0 \ltrch\fcs0 \insrsid15625260\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15625260\charrsid946740 &lt;DocAmend&gt;}{\rtlch\fcs1 \af0 \ltrch\fcs0 \insrsid15625260\charrsid946740 [ZRESOLUTION]}{\rtlch\fcs1 \af0 \ltrch\fcs0 \cs15\b0\v\f1\fs20\cf9\insrsid15625260\charrsid946740 &lt;/DocAmend&gt;}{_x000d__x000a_\rtlch\fcs1 \af0 \ltrch\fcs0 \insrsid15625260\charrsid946740 _x000d__x000a_\par }\pard \ltrpar\s18\ql \li0\ri0\nowidctlpar\wrapdefault\aspalpha\aspnum\faauto\adjustright\rin0\lin0\itap0\pararsid16013815 {\rtlch\fcs1 \af0 \ltrch\fcs0 \cs15\b0\v\f1\fs20\cf9\lang1024\langfe1024\noproof\insrsid15625260\charrsid16013815 &lt;Article&gt;}{_x000d__x000a_\rtlch\fcs1 \af0 \ltrch\fcs0 \insrsid15625260\charrsid16013815 [ZRESPART]}{\rtlch\fcs1 \af0 \ltrch\fcs0 \cs15\b0\v\f1\fs20\cf9\lang1024\langfe1024\noproof\insrsid15625260\charrsid16013815 &lt;/Article&gt;}{\rtlch\fcs1 \af0 \ltrch\fcs0 _x000d__x000a_\insrsid15625260\charrsid16013815 _x000d__x000a_\par \ltrrow}\trowd \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15625260\charrsid946740 \cell }\pard \ltrpar\ql \li0\ri0\widctlpar\intbl\wrapdefault\aspalpha\aspnum\faauto\adjustright\rin0\lin0 {\rtlch\fcs1 \af0 \ltrch\fcs0 _x000d__x000a_\insrsid15625260\charrsid946740 \trowd \ltrrow\ts11\trqc\trgaph340\trleft-340\trftsWidth1\trftsWidthB3\trftsWidthA3\trpaddl340\trpaddr340\trpaddfl3\trpaddfr3\tblind0\tblindtype3 \clvertalt\clbrdrt\brdrtbl \clbrdrl\brdrtbl \clbrdrb\brdrtbl \clbrdrr_x000d__x000a_\brdrtbl \cltxlrtb\clftsWidth3\clwWidth9752\clshdrawnil \cellx9412\row \ltrrow}\trowd \ltrrow\ts11\trqc\trgaph340\trleft-340\trftsWidth1\trftsWidthB3\trftsWidthA3\trpaddl340\trpaddr340\trpaddfl3\trpaddfr3\tblind0\tblindtype3 \clvertalt\clbrdrt\brdrtbl _x000d__x000a_\clbrdrl\brdrtbl \clbrdrb\brdrtbl \clbrdrr\brdrtbl \cltxlrtb\clftsWidth3\clwWidth4876\clshdrawnil \cellx4536\clvertalt\clbrdrt\brdrtbl \clbrdrl\brdrtbl \clbrdrb\brdrtbl \clbrdrr\brdrtbl \cltxlrtb\clftsWidth3\clwWidth4876\clshdrawnil \cellx9412_x000d__x000a_\pard\plain \ltrpar\s23\qc \li0\ri0\sa240\keepn\nowidctlpar\intbl\wrapdefault\aspalpha\aspnum\faauto\adjustright\rin0\lin0\pararsid10630121 \rtlch\fcs1 \af0\afs20\alang1025 \ltrch\fcs0 \i\fs24\lang2057\langfe2057\cgrid\langnp2057\langfenp2057 {_x000d__x000a_\rtlch\fcs1 \af0 \ltrch\fcs0 \insrsid15625260\charrsid946740 [ZLEFTA]\cell [ZRIGHT]\cell }\pard\plain \ltrpar\ql \li0\ri0\widctlpar\intbl\wrapdefault\aspalpha\aspnum\faauto\adjustright\rin0\lin0 \rtlch\fcs1 \af0\afs20\alang1025 \ltrch\fcs0 _x000d__x000a_\fs24\lang2057\langfe2057\cgrid\langnp2057\langfenp2057 {\rtlch\fcs1 \af0 \ltrch\fcs0 \insrsid15625260\charrsid946740 \trowd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5625260\charrsid946740 [ZTEXTL]\cell [ZTEXTR]}{\rtlch\fcs1 \af0\afs24 \ltrch\fcs0 \insrsid15625260\charrsid946740 \cell }\pard\plain \ltrpar\ql \li0\ri0\widctlpar\intbl\wrapdefault\aspalpha\aspnum\faauto\adjustright\rin0\lin0 \rtlch\fcs1 _x000d__x000a_\af0\afs20\alang1025 \ltrch\fcs0 \fs24\lang2057\langfe2057\cgrid\langnp2057\langfenp2057 {\rtlch\fcs1 \af0 \ltrch\fcs0 \insrsid15625260\charrsid946740 \trowd \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r \li0\ri0\sb240\sa240\nowidctlpar\wrapdefault\aspalpha\aspnum\faauto\adjustright\rin0\lin0\itap0\pararsid10118616 \rtlch\fcs1 \af0\afs20\alang1025 \ltrch\fcs0 \fs24\lang1024\langfe1024\cgrid\noproof\langnp2057\langfenp2057 {\rtlch\fcs1 \af0 _x000d__x000a_\ltrch\fcs0 \noproof0\insrsid15625260\charrsid946740 Or. }{\rtlch\fcs1 \af0 \ltrch\fcs0 \cs15\v\f1\fs20\cf9\noproof0\insrsid15625260\charrsid946740 &lt;Original&gt;}{\rtlch\fcs1 \af0 \ltrch\fcs0 \noproof0\insrsid15625260\charrsid946740 [ZORLANG]}{\rtlch\fcs1 _x000d__x000a_\af0 \ltrch\fcs0 \cs15\v\f1\fs20\cf9\noproof0\insrsid15625260\charrsid946740 &lt;/Original&gt;}{\rtlch\fcs1 \af0 \ltrch\fcs0 \noproof0\insrsid15625260\charrsid946740 _x000d__x000a_\par }\pard\plain \ltrpar\s21\qc \li0\ri0\sb240\sa240\keepn\nowidctlpar\wrapdefault\aspalpha\aspnum\faauto\adjustright\rin0\lin0\itap0\pararsid16390444 \rtlch\fcs1 \af0\afs20\alang1025 \ltrch\fcs0 _x000d__x000a_\i\fs24\lang1024\langfe1024\cgrid\noproof\langnp2057\langfenp2057 {\rtlch\fcs1 \af0 \ltrch\fcs0 \cs15\i0\v\f1\fs20\cf9\noproof0\insrsid15625260\charrsid946740 &lt;TitreJust&gt;}{\rtlch\fcs1 \af0 \ltrch\fcs0 \noproof0\insrsid15625260\charrsid946740 _x000d__x000a_[ZJUSTIFICATION]}{\rtlch\fcs1 \af0 \ltrch\fcs0 \cs15\i0\v\f1\fs20\cf9\noproof0\insrsid15625260\charrsid946740 &lt;/TitreJust&gt;}{\rtlch\fcs1 \af0 \ltrch\fcs0 \noproof0\insrsid15625260\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15625260\charrsid946740 &lt;OptDelPrev&gt;}{\rtlch\fcs1 \af0 \ltrch\fcs0 \noproof0\insrsid15625260\charrsid946740 [ZTEXTJUST]}{\rtlch\fcs1 \af0 \ltrch\fcs0 _x000d__x000a_\cs15\i0\v\f1\fs20\cf9\noproof0\insrsid15625260\charrsid946740 &lt;/OptDelPrev&gt;}{\rtlch\fcs1 \af0 \ltrch\fcs0 \noproof0\insrsid15625260\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15625260\charrsid94674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9a_x000d__x000a_bf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2490866 HideTWBExt;}{\s16\ql \li0\ri0\sa120\nowidctlpar\wrapdefault\aspalpha\aspnum\faauto\adjustright\rin0\lin0\itap0 \rtlch\fcs1 \af0\afs20\alang1025 \ltrch\fcs0 _x000d__x000a_\fs24\lang2057\langfe2057\cgrid\langnp2057\langfenp2057 \sbasedon0 \snext16 \slink17 \spriority0 \styrsid2490866 Normal6;}{\*\cs17 \additive \fs24\lang2057\langfe2057\langnp2057\langfenp2057 \slink16 \slocked \spriority0 \styrsid2490866 Normal6 Char;}{_x000d__x000a_\s18\ql \li0\ri0\nowidctlpar\wrapdefault\aspalpha\aspnum\faauto\adjustright\rin0\lin0\itap0 \rtlch\fcs1 \af0\afs20\alang1025 \ltrch\fcs0 \b\fs24\lang2057\langfe2057\cgrid\langnp2057\langfenp2057 \sbasedon0 \snext18 \slink19 \spriority0 \styrsid2490866 _x000d__x000a_NormalBold;}{\*\cs19 \additive \b\fs24\lang2057\langfe2057\langnp2057\langfenp2057 \slink18 \slocked \spriority0 \styrsid2490866 NormalBold Char;}{\s20\ql \li0\ri0\sa240\nowidctlpar\wrapdefault\aspalpha\aspnum\faauto\adjustright\rin0\lin0\itap0 _x000d__x000a_\rtlch\fcs1 \af0\afs20\alang1025 \ltrch\fcs0 \i\fs24\lang1024\langfe1024\cgrid\noproof\langnp2057\langfenp2057 \sbasedon0 \snext20 \spriority0 \styrsid2490866 Normal12Italic;}{_x000d__x000a_\s21\qc \li0\ri0\sb240\nowidctlpar\wrapdefault\aspalpha\aspnum\faauto\adjustright\rin0\lin0\itap0 \rtlch\fcs1 \af0\afs20\alang1025 \ltrch\fcs0 \i\fs24\lang2057\langfe2057\cgrid\langnp2057\langfenp2057 \sbasedon0 \snext21 \spriority0 \styrsid2490866 _x000d__x000a_CrossRef;}{\s22\qc \li0\ri0\sb240\sa240\keepn\nowidctlpar\wrapdefault\aspalpha\aspnum\faauto\adjustright\rin0\lin0\itap0 \rtlch\fcs1 \af0\afs20\alang1025 \ltrch\fcs0 \i\fs24\lang1024\langfe1024\cgrid\noproof\langnp2057\langfenp2057 _x000d__x000a_\sbasedon0 \snext0 \spriority0 \styrsid2490866 JustificationTitle;}{\s23\qr \li0\ri0\sb240\sa240\nowidctlpar\wrapdefault\aspalpha\aspnum\faauto\adjustright\rin0\lin0\itap0 \rtlch\fcs1 \af0\afs20\alang1025 \ltrch\fcs0 _x000d__x000a_\fs24\lang1024\langfe1024\cgrid\noproof\langnp2057\langfenp2057 \sbasedon0 \snext23 \spriority0 \styrsid2490866 Olang;}{\s24\qc \li0\ri0\sa240\nowidctlpar\wrapdefault\aspalpha\aspnum\faauto\adjustright\rin0\lin0\itap0 \rtlch\fcs1 \af0\afs20\alang1025 _x000d__x000a_\ltrch\fcs0 \i\fs24\lang2057\langfe2057\cgrid\langnp2057\langfenp2057 \sbasedon0 \snext24 \spriority0 \styrsid2490866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2490866 AMNumberTabs;}}{\*\rsidtbl \rsid24658\rsid735077\rsid2490866\rsid2892074\rsid4666813\rsid6641733\rsid7298627\rsid9636012\rsid11215221_x000d__x000a_\rsid12154954\rsid14424199\rsid15204470\rsid15285974\rsid15950462\rsid16324206\rsid16662270}{\mmathPr\mmathFont34\mbrkBin0\mbrkBinSub0\msmallFrac0\mdispDef1\mlMargin0\mrMargin0\mdefJc1\mwrapIndent1440\mintLim0\mnaryLim1}{\info{\author FELIX Karina}_x000d__x000a_{\operator FELIX Karina}{\creatim\yr2015\mo5\dy8\hr15\min23}{\revtim\yr2015\mo5\dy8\hr15\min23}{\version1}{\edmins0}{\nofpages1}{\nofwords80}{\nofchars445}{\*\company European Parliament}{\nofcharsws524}{\vern49165}}{\*\xmlnstbl {\xmlns1 http://schemas.mi_x000d__x000a_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2490866\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7298627 \chftnsep _x000d__x000a_\par }}{\*\ftnsepc \ltrpar \pard\plain \ltrpar\ql \li0\ri0\widctlpar\wrapdefault\aspalpha\aspnum\faauto\adjustright\rin0\lin0\itap0 \rtlch\fcs1 \af0\afs20\alang1025 \ltrch\fcs0 \fs24\lang2057\langfe2057\cgrid\langnp2057\langfenp2057 {\rtlch\fcs1 \af0 _x000d__x000a_\ltrch\fcs0 \insrsid7298627 \chftnsepc _x000d__x000a_\par }}{\*\aftnsep \ltrpar \pard\plain \ltrpar\ql \li0\ri0\widctlpar\wrapdefault\aspalpha\aspnum\faauto\adjustright\rin0\lin0\itap0 \rtlch\fcs1 \af0\afs20\alang1025 \ltrch\fcs0 \fs24\lang2057\langfe2057\cgrid\langnp2057\langfenp2057 {\rtlch\fcs1 \af0 _x000d__x000a_\ltrch\fcs0 \insrsid7298627 \chftnsep _x000d__x000a_\par }}{\*\aftnsepc \ltrpar \pard\plain \ltrpar\ql \li0\ri0\widctlpar\wrapdefault\aspalpha\aspnum\faauto\adjustright\rin0\lin0\itap0 \rtlch\fcs1 \af0\afs20\alang1025 \ltrch\fcs0 \fs24\lang2057\langfe2057\cgrid\langnp2057\langfenp2057 {\rtlch\fcs1 \af0 _x000d__x000a_\ltrch\fcs0 \insrsid729862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3744759 \rtlch\fcs1 \af0\afs20\alang1025 \ltrch\fcs0 \b\fs24\lang2057\langfe2057\cgrid\langnp2057\langfenp2057 {\rtlch\fcs1 \af0 \ltrch\fcs0 \cs15\b0\v\f1\fs20\cf9\insrsid2490866\charrsid946740 {\*\bkmkstart restartB}&lt;AmendB&gt;}{_x000d__x000a_\rtlch\fcs1 \af0 \ltrch\fcs0 \insrsid2490866\charrsid946740 [ZAMENDMENT]\tab \tab }{\rtlch\fcs1 \af0 \ltrch\fcs0 \cs15\b0\v\f1\fs20\cf9\insrsid2490866\charrsid946740 &lt;NumAmB&gt;}{\rtlch\fcs1 \af0 \ltrch\fcs0 \insrsid2490866\charrsid946740 [ZNRAM]}{_x000d__x000a_\rtlch\fcs1 \af0 \ltrch\fcs0 \cs15\b0\v\f1\fs20\cf9\insrsid2490866\charrsid946740 &lt;/NumAmB&gt;}{\rtlch\fcs1 \af0 \ltrch\fcs0 \insrsid2490866\charrsid946740 _x000d__x000a_\par }\pard\plain \ltrpar\s18\ql \li0\ri0\nowidctlpar\wrapdefault\aspalpha\aspnum\faauto\adjustright\rin0\lin0\itap0\pararsid5976803 \rtlch\fcs1 \af0\afs20\alang1025 \ltrch\fcs0 \b\fs24\lang2057\langfe2057\cgrid\langnp2057\langfenp2057 {\rtlch\fcs1 \af0 _x000d__x000a_\ltrch\fcs0 \cs15\b0\v\f1\fs20\cf9\lang1024\langfe1024\noproof\insrsid2490866\charrsid14699840 &lt;RepeatBlock-By&gt;}{\rtlch\fcs1 \af0 \ltrch\fcs0 \lang1024\langfe1024\noproof\insrsid2490866\charrsid14699840 [RepeatMembers]}{\rtlch\fcs1 \af0 \ltrch\fcs0 _x000d__x000a_\cs15\b0\v\f1\fs20\cf9\lang1024\langfe1024\noproof\insrsid2490866\charrsid14699840 &lt;Members&gt;}{\rtlch\fcs1 \af0 \ltrch\fcs0 \insrsid2490866\charrsid14699840 [ZMEMBERS]}{\rtlch\fcs1 \af0 \ltrch\fcs0 _x000d__x000a_\cs15\b0\v\f1\fs20\cf9\lang1024\langfe1024\noproof\insrsid2490866\charrsid14699840 &lt;/Members&gt;}{\rtlch\fcs1 \af0 \ltrch\fcs0 \insrsid2490866\charrsid14699840 _x000d__x000a_\par }\pard\plain \ltrpar\ql \li0\ri0\widctlpar\wrapdefault\aspalpha\aspnum\faauto\adjustright\rin0\lin0\itap0\pararsid5976803 \rtlch\fcs1 \af0\afs20\alang1025 \ltrch\fcs0 \fs24\lang2057\langfe2057\cgrid\langnp2057\langfenp2057 {\rtlch\fcs1 \af0 \ltrch\fcs0 _x000d__x000a_\cs15\v\f1\fs20\cf9\lang1024\langfe1024\noproof\insrsid2490866\charrsid14699840 &lt;AuNomDe&gt;&lt;OptDel&gt;}{\rtlch\fcs1 \af0 \ltrch\fcs0 \lang1024\langfe1024\noproof\insrsid2490866\charrsid14699840 [ZONBEHALF]}{\rtlch\fcs1 \af0 \ltrch\fcs0 _x000d__x000a_\cs15\v\f1\fs20\cf9\lang1024\langfe1024\noproof\insrsid2490866\charrsid14699840 &lt;/OptDel&gt;&lt;/AuNomDe&gt;}{\rtlch\fcs1 \af0 \ltrch\fcs0 \insrsid2490866\charrsid14699840 _x000d__x000a_\par &lt;&lt;&lt;}{\rtlch\fcs1 \af0 \ltrch\fcs0 \cs15\v\f1\fs20\cf9\lang1024\langfe1024\noproof\insrsid2490866\charrsid14699840 &lt;/RepeatBlock-By&gt;}{\rtlch\fcs1 \af0 \ltrch\fcs0 \insrsid2490866\charrsid14699840 _x000d__x000a_\par }\pard\plain \ltrpar\s18\ql \li0\ri0\nowidctlpar\wrapdefault\aspalpha\aspnum\faauto\adjustright\rin0\lin0\itap0\pararsid5976803 \rtlch\fcs1 \af0\afs20\alang1025 \ltrch\fcs0 \b\fs24\lang2057\langfe2057\cgrid\langnp2057\langfenp2057 {\rtlch\fcs1 \af0 _x000d__x000a_\ltrch\fcs0 \cs15\b0\v\f1\fs20\cf9\insrsid2490866\charrsid946740 &lt;DocAmend&gt;}{\rtlch\fcs1 \af0 \ltrch\fcs0 \insrsid2490866\charrsid946740 [Z}{\rtlch\fcs1 \af0 \ltrch\fcs0 \insrsid2490866 AMDOC}{\rtlch\fcs1 \af0 \ltrch\fcs0 \insrsid2490866\charrsid946740 ]}_x000d__x000a_{\rtlch\fcs1 \af0 \ltrch\fcs0 \cs15\b0\v\f1\fs20\cf9\insrsid2490866\charrsid946740 &lt;/DocAmend&gt;}{\rtlch\fcs1 \af0 \ltrch\fcs0 \insrsid2490866\charrsid946740 _x000d__x000a_\par }\pard \ltrpar\s18\ql \li0\ri0\keepn\nowidctlpar\wrapdefault\aspalpha\aspnum\faauto\adjustright\rin0\lin0\itap0\pararsid10630121 {\rtlch\fcs1 \af0 \ltrch\fcs0 \cs15\b0\v\f1\fs20\cf9\insrsid2490866\charrsid946740 &lt;Article&gt;}{\rtlch\fcs1 \af0 \ltrch\fcs0 _x000d__x000a_\insrsid2490866\charrsid946740 [ZAMPART]}{\rtlch\fcs1 \af0 \ltrch\fcs0 \cs15\b0\v\f1\fs20\cf9\insrsid2490866\charrsid946740 &lt;/Article&gt;}{\rtlch\fcs1 \af0 \ltrch\fcs0 \insrsid2490866\charrsid946740 _x000d__x000a_\par }\pard\plain \ltrpar\ql \li0\ri0\keepn\widctlpar\wrapdefault\aspalpha\aspnum\faauto\adjustright\rin0\lin0\itap0\pararsid3744759 \rtlch\fcs1 \af0\afs20\alang1025 \ltrch\fcs0 \fs24\lang2057\langfe2057\cgrid\langnp2057\langfenp2057 {\rtlch\fcs1 \af0 _x000d__x000a_\ltrch\fcs0 \cs15\v\f1\fs20\cf9\insrsid2490866\charrsid946740 &lt;DocAmend2&gt;&lt;OptDel&gt;}{\rtlch\fcs1 \af0 \ltrch\fcs0 \insrsid2490866\charrsid946740 [ZNRACT]}{\rtlch\fcs1 \af0 \ltrch\fcs0 \cs15\v\f1\fs20\cf9\insrsid2490866\charrsid946740 &lt;/OptDel&gt;&lt;/DocAmend2&gt;}{_x000d__x000a_\rtlch\fcs1 \af0 \ltrch\fcs0 \insrsid2490866\charrsid946740 _x000d__x000a_\par }\pard \ltrpar\ql \li0\ri0\widctlpar\wrapdefault\aspalpha\aspnum\faauto\adjustright\rin0\lin0\itap0\pararsid10158853 {\rtlch\fcs1 \af0 \ltrch\fcs0 \cs15\v\f1\fs20\cf9\insrsid2490866\charrsid946740 &lt;Article2&gt;&lt;OptDel&gt;}{\rtlch\fcs1 \af0 \ltrch\fcs0 _x000d__x000a_\insrsid2490866\charrsid946740 [ZACTPART]}{\rtlch\fcs1 \af0 \ltrch\fcs0 \cs15\v\f1\fs20\cf9\insrsid2490866\charrsid946740 &lt;/OptDel&gt;&lt;/Article2&gt;}{\rtlch\fcs1 \af0 \ltrch\fcs0 \insrsid2490866\charrsid946740 _x000d__x000a_\par \ltrrow}\trowd \ltrrow\ts11\trqc\trgaph340\trleft-340\trftsWidth3\trwWidth9752\trftsWidthB3\trftsWidthA3\trpaddl340\trpaddr340\trpaddfl3\trpaddfr3\tblind0\tblindtype3 \clvertalt\clbrdrt\brdrtbl \clbrdrl\brdrtbl \clbrdrb\brdrtbl \clbrdrr\brdrtbl _x000d__x000a_\cltxlrtb\clftsWidth3\clwWidth9752\clshdrawnil \cellx9412\pard \ltrpar\ql \li0\ri0\keepn\widctlpar\intbl\wrapdefault\aspalpha\aspnum\faauto\adjustright\rin0\lin0\pararsid10630121 {\rtlch\fcs1 \af0 \ltrch\fcs0 \insrsid2490866\charrsid946740 \cell _x000d__x000a_}\pard \ltrpar\ql \li0\ri0\widctlpar\intbl\wrapdefault\aspalpha\aspnum\faauto\adjustright\rin0\lin0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ind0\tblindtype3 \clvertalt\clbrdrt_x000d__x000a_\brdrtbl \clbrdrl\brdrtbl \clbrdrb\brdrtbl \clbrdrr\brdrtbl \cltxlrtb\clftsWidth3\clwWidth4876\clshdrawnil \cellx4536\clvertalt\clbrdrt\brdrtbl \clbrdrl\brdrtbl \clbrdrb\brdrtbl \clbrdrr\brdrtbl \cltxlrtb\clftsWidth3\clwWidth4876\clshdrawnil \cellx9412_x000d__x000a_\pard\plain \ltrpar\s24\qc \li0\ri0\sa240\keepn\nowidctlpar\intbl\wrapdefault\aspalpha\aspnum\faauto\adjustright\rin0\lin0\pararsid10630121 \rtlch\fcs1 \af0\afs20\alang1025 \ltrch\fcs0 \i\fs24\lang2057\langfe2057\cgrid\langnp2057\langfenp2057 {_x000d__x000a_\rtlch\fcs1 \af0 \ltrch\fcs0 \insrsid2490866\charrsid946740 [ZLEFTB]\cell [ZRIGHT]\cell }\pard\plain \ltrpar\ql \li0\ri0\widctlpar\intbl\wrapdefault\aspalpha\aspnum\faauto\adjustright\rin0\lin0 \rtlch\fcs1 \af0\afs20\alang1025 \ltrch\fcs0 _x000d__x000a_\fs24\lang2057\langfe2057\cgrid\langnp2057\langfenp2057 {\rtlch\fcs1 \af0 \ltrch\fcs0 \insrsid2490866\charrsid946740 \trowd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2490866\charrsid946740 [ZTEXTL]\cell [ZTEXTR]}{\rtlch\fcs1 \af0\afs24 \ltrch\fcs0 \insrsid2490866\charrsid946740 \cell }\pard\plain \ltrpar\ql \li0\ri0\widctlpar\intbl\wrapdefault\aspalpha\aspnum\faauto\adjustright\rin0\lin0 \rtlch\fcs1 _x000d__x000a_\af0\afs20\alang1025 \ltrch\fcs0 \fs24\lang2057\langfe2057\cgrid\langnp2057\langfenp2057 {\rtlch\fcs1 \af0 \ltrch\fcs0 \insrsid2490866\charrsid946740 \trowd \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6390444 \rtlch\fcs1 \af0\afs20\alang1025 \ltrch\fcs0 \fs24\lang1024\langfe1024\cgrid\noproof\langnp2057\langfenp2057 {\rtlch\fcs1 \af0 _x000d__x000a_\ltrch\fcs0 \noproof0\insrsid2490866\charrsid946740 Or. }{\rtlch\fcs1 \af0 \ltrch\fcs0 \cs15\v\f1\fs20\cf9\noproof0\insrsid2490866\charrsid946740 &lt;Original&gt;}{\rtlch\fcs1 \af0 \ltrch\fcs0 \noproof0\insrsid2490866\charrsid946740 [ZORLANG]}{\rtlch\fcs1 \af0 _x000d__x000a_\ltrch\fcs0 \cs15\v\f1\fs20\cf9\noproof0\insrsid2490866\charrsid946740 &lt;/Original&gt;}{\rtlch\fcs1 \af0 \ltrch\fcs0 \noproof0\insrsid2490866\charrsid946740 _x000d__x000a_\par }\pard\plain \ltrpar\s21\qc \li0\ri0\sb240\nowidctlpar\wrapdefault\aspalpha\aspnum\faauto\adjustright\rin0\lin0\itap0\pararsid10630121 \rtlch\fcs1 \af0\afs20\alang1025 \ltrch\fcs0 \i\fs24\lang2057\langfe2057\cgrid\langnp2057\langfenp2057 {\rtlch\fcs1 _x000d__x000a_\af0 \ltrch\fcs0 \cs15\i0\v\f1\fs20\cf9\insrsid2490866\charrsid946740 &lt;OptDel&gt;}{\rtlch\fcs1 \af0 \ltrch\fcs0 \insrsid2490866\charrsid946740 [ZCROSSREF]}{\rtlch\fcs1 \af0 \ltrch\fcs0 \cs15\i0\v\f1\fs20\cf9\insrsid2490866\charrsid946740 &lt;/OptDel&gt;}{_x000d__x000a_\rtlch\fcs1 \af0 \ltrch\fcs0 \insrsid2490866\charrsid946740 _x000d__x000a_\par }\pard\plain \ltrpar\s22\qc \li0\ri0\sb240\sa240\keepn\nowidctlpar\wrapdefault\aspalpha\aspnum\faauto\adjustright\rin0\lin0\itap0\pararsid3744759 \rtlch\fcs1 \af0\afs20\alang1025 \ltrch\fcs0 _x000d__x000a_\i\fs24\lang1024\langfe1024\cgrid\noproof\langnp2057\langfenp2057 {\rtlch\fcs1 \af0 \ltrch\fcs0 \cs15\i0\v\f1\fs20\cf9\noproof0\insrsid2490866\charrsid946740 &lt;TitreJust&gt;}{\rtlch\fcs1 \af0 \ltrch\fcs0 \noproof0\insrsid2490866\charrsid946740 _x000d__x000a_[ZJUSTIFICATION]}{\rtlch\fcs1 \af0 \ltrch\fcs0 \cs15\i0\v\f1\fs20\cf9\noproof0\insrsid2490866\charrsid946740 &lt;/TitreJust&gt;}{\rtlch\fcs1 \af0 \ltrch\fcs0 \noproof0\insrsid2490866\charrsid946740 _x000d__x000a_\par }\pard\plain \ltrpar\s20\ql \li0\ri0\sa240\nowidctlpar\wrapdefault\aspalpha\aspnum\faauto\adjustright\rin0\lin0\itap0\pararsid16390444 \rtlch\fcs1 \af0\afs20\alang1025 \ltrch\fcs0 \i\fs24\lang1024\langfe1024\cgrid\noproof\langnp2057\langfenp2057 {_x000d__x000a_\rtlch\fcs1 \af0 \ltrch\fcs0 \cs15\i0\v\f1\fs20\cf9\noproof0\insrsid2490866\charrsid946740 &lt;OptDelPrev&gt;}{\rtlch\fcs1 \af0 \ltrch\fcs0 \noproof0\insrsid2490866\charrsid946740 [ZTEXTJUST]}{\rtlch\fcs1 \af0 \ltrch\fcs0 _x000d__x000a_\cs15\i0\v\f1\fs20\cf9\noproof0\insrsid2490866\charrsid946740 &lt;/OptDelPrev&gt;}{\rtlch\fcs1 \af0 \ltrch\fcs0 \noproof0\insrsid2490866\charrsid946740 _x000d__x000a_\par }\pard\plain \ltrpar\ql \li0\ri0\widctlpar\wrapdefault\aspalpha\aspnum\faauto\adjustright\rin0\lin0\itap0\pararsid16324206 \rtlch\fcs1 \af0\afs20\alang1025 \ltrch\fcs0 \fs24\lang2057\langfe2057\cgrid\langnp2057\langfenp2057 {\rtlch\fcs1 \af0 \ltrch\fcs0 _x000d__x000a_\cs15\v\f1\fs20\cf9\insrsid2490866\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Report"/>
    <w:docVar w:name="strSubDir" w:val="1170"/>
    <w:docVar w:name="TXTAUTHOR" w:val="Eric Andrieu"/>
    <w:docVar w:name="TXTLANGUE" w:val="FR"/>
    <w:docVar w:name="TXTLANGUEMIN" w:val="fr"/>
    <w:docVar w:name="TXTNRC" w:val="0246/2018"/>
    <w:docVar w:name="TXTNRCOM" w:val="01-00"/>
    <w:docVar w:name="TXTNRFIRSTAM" w:val="110"/>
    <w:docVar w:name="TXTNRLASTAM" w:val="349"/>
    <w:docVar w:name="TXTNRPE" w:val="631.782"/>
    <w:docVar w:name="TXTNRPE2" w:val="631.782"/>
    <w:docVar w:name="TXTNRPROC" w:val="2018/0218"/>
    <w:docVar w:name="TXTPEorAP" w:val="PE"/>
    <w:docVar w:name="TXTROUTE" w:val="AM\1170676FR.docx"/>
    <w:docVar w:name="TXTTITLE" w:val="titre"/>
    <w:docVar w:name="TXTVERSION" w:val="01-00"/>
    <w:docVar w:name="TXTVERSION2" w:val="01-00"/>
  </w:docVars>
  <w:rsids>
    <w:rsidRoot w:val="00025817"/>
    <w:rsid w:val="000111BD"/>
    <w:rsid w:val="0002206F"/>
    <w:rsid w:val="00025817"/>
    <w:rsid w:val="00073830"/>
    <w:rsid w:val="00075DBE"/>
    <w:rsid w:val="000B0781"/>
    <w:rsid w:val="000D4ECB"/>
    <w:rsid w:val="000E7234"/>
    <w:rsid w:val="000F2A80"/>
    <w:rsid w:val="00126BC4"/>
    <w:rsid w:val="00150057"/>
    <w:rsid w:val="00166CCB"/>
    <w:rsid w:val="001A4802"/>
    <w:rsid w:val="001B761C"/>
    <w:rsid w:val="001C2054"/>
    <w:rsid w:val="001C502E"/>
    <w:rsid w:val="001D13C9"/>
    <w:rsid w:val="001D5CC4"/>
    <w:rsid w:val="001F0FDD"/>
    <w:rsid w:val="00231EA7"/>
    <w:rsid w:val="00236619"/>
    <w:rsid w:val="002574CB"/>
    <w:rsid w:val="00280EA6"/>
    <w:rsid w:val="002A1C82"/>
    <w:rsid w:val="002B6A7B"/>
    <w:rsid w:val="002C5761"/>
    <w:rsid w:val="002F2A46"/>
    <w:rsid w:val="003003A7"/>
    <w:rsid w:val="00315664"/>
    <w:rsid w:val="00322475"/>
    <w:rsid w:val="00363AD3"/>
    <w:rsid w:val="003743DE"/>
    <w:rsid w:val="0037660F"/>
    <w:rsid w:val="00384E84"/>
    <w:rsid w:val="003923F7"/>
    <w:rsid w:val="003D466C"/>
    <w:rsid w:val="003E1FCC"/>
    <w:rsid w:val="003E43AC"/>
    <w:rsid w:val="003F21EB"/>
    <w:rsid w:val="003F3B0C"/>
    <w:rsid w:val="00422BB2"/>
    <w:rsid w:val="004367B3"/>
    <w:rsid w:val="00441413"/>
    <w:rsid w:val="00441D7D"/>
    <w:rsid w:val="00461E32"/>
    <w:rsid w:val="00495E20"/>
    <w:rsid w:val="004B3EE3"/>
    <w:rsid w:val="004E0AAC"/>
    <w:rsid w:val="004F2903"/>
    <w:rsid w:val="00500D75"/>
    <w:rsid w:val="00536C23"/>
    <w:rsid w:val="00547F73"/>
    <w:rsid w:val="00557617"/>
    <w:rsid w:val="00571479"/>
    <w:rsid w:val="00592354"/>
    <w:rsid w:val="005A7EB4"/>
    <w:rsid w:val="005B32E3"/>
    <w:rsid w:val="005E50C2"/>
    <w:rsid w:val="00607ABE"/>
    <w:rsid w:val="00626711"/>
    <w:rsid w:val="006337D4"/>
    <w:rsid w:val="00637384"/>
    <w:rsid w:val="0066168A"/>
    <w:rsid w:val="00665DDA"/>
    <w:rsid w:val="00672807"/>
    <w:rsid w:val="00681A77"/>
    <w:rsid w:val="00695CC1"/>
    <w:rsid w:val="006A2838"/>
    <w:rsid w:val="006B4B58"/>
    <w:rsid w:val="006B6438"/>
    <w:rsid w:val="006D6B15"/>
    <w:rsid w:val="006F3F81"/>
    <w:rsid w:val="006F4B73"/>
    <w:rsid w:val="00702F62"/>
    <w:rsid w:val="007059E9"/>
    <w:rsid w:val="00706049"/>
    <w:rsid w:val="007152AF"/>
    <w:rsid w:val="007201F1"/>
    <w:rsid w:val="00736FBA"/>
    <w:rsid w:val="007659AC"/>
    <w:rsid w:val="0079060C"/>
    <w:rsid w:val="007A42AB"/>
    <w:rsid w:val="007C71DE"/>
    <w:rsid w:val="00822C94"/>
    <w:rsid w:val="008363E4"/>
    <w:rsid w:val="00851460"/>
    <w:rsid w:val="0086376C"/>
    <w:rsid w:val="0087052C"/>
    <w:rsid w:val="00874862"/>
    <w:rsid w:val="00875A9C"/>
    <w:rsid w:val="00887FDC"/>
    <w:rsid w:val="008F0DDD"/>
    <w:rsid w:val="00900CAE"/>
    <w:rsid w:val="00904AD5"/>
    <w:rsid w:val="009154FF"/>
    <w:rsid w:val="00917A85"/>
    <w:rsid w:val="00966038"/>
    <w:rsid w:val="009A65D8"/>
    <w:rsid w:val="009B0305"/>
    <w:rsid w:val="00A15973"/>
    <w:rsid w:val="00A233E9"/>
    <w:rsid w:val="00A46736"/>
    <w:rsid w:val="00A50390"/>
    <w:rsid w:val="00A507FC"/>
    <w:rsid w:val="00A53FF9"/>
    <w:rsid w:val="00A5426B"/>
    <w:rsid w:val="00A845EF"/>
    <w:rsid w:val="00A93389"/>
    <w:rsid w:val="00A93F8C"/>
    <w:rsid w:val="00AB74D6"/>
    <w:rsid w:val="00AC7149"/>
    <w:rsid w:val="00AE4459"/>
    <w:rsid w:val="00AF25FC"/>
    <w:rsid w:val="00AF2819"/>
    <w:rsid w:val="00B10564"/>
    <w:rsid w:val="00B41B4D"/>
    <w:rsid w:val="00B77A45"/>
    <w:rsid w:val="00B8066A"/>
    <w:rsid w:val="00B85286"/>
    <w:rsid w:val="00B90B7F"/>
    <w:rsid w:val="00BA48D2"/>
    <w:rsid w:val="00BC1B1F"/>
    <w:rsid w:val="00BE0C84"/>
    <w:rsid w:val="00C10F61"/>
    <w:rsid w:val="00C22CC4"/>
    <w:rsid w:val="00C35E35"/>
    <w:rsid w:val="00C41E32"/>
    <w:rsid w:val="00C92798"/>
    <w:rsid w:val="00CB34F1"/>
    <w:rsid w:val="00CB7B07"/>
    <w:rsid w:val="00CC3983"/>
    <w:rsid w:val="00CD0256"/>
    <w:rsid w:val="00CD03D8"/>
    <w:rsid w:val="00CF0EE3"/>
    <w:rsid w:val="00D00CC7"/>
    <w:rsid w:val="00D100D1"/>
    <w:rsid w:val="00D14FCE"/>
    <w:rsid w:val="00D15308"/>
    <w:rsid w:val="00D1583C"/>
    <w:rsid w:val="00D15D1E"/>
    <w:rsid w:val="00D231E1"/>
    <w:rsid w:val="00D66F90"/>
    <w:rsid w:val="00D677D5"/>
    <w:rsid w:val="00D755F1"/>
    <w:rsid w:val="00D767AC"/>
    <w:rsid w:val="00D82FCC"/>
    <w:rsid w:val="00DB429F"/>
    <w:rsid w:val="00DC4160"/>
    <w:rsid w:val="00DC6A1B"/>
    <w:rsid w:val="00DD1A13"/>
    <w:rsid w:val="00DE672F"/>
    <w:rsid w:val="00E15A86"/>
    <w:rsid w:val="00E25DC5"/>
    <w:rsid w:val="00E44BB0"/>
    <w:rsid w:val="00E46DA3"/>
    <w:rsid w:val="00E471BE"/>
    <w:rsid w:val="00E57F50"/>
    <w:rsid w:val="00E660E2"/>
    <w:rsid w:val="00E9022F"/>
    <w:rsid w:val="00EE011D"/>
    <w:rsid w:val="00EF03A3"/>
    <w:rsid w:val="00F27170"/>
    <w:rsid w:val="00F459F7"/>
    <w:rsid w:val="00F92B49"/>
    <w:rsid w:val="00FA192C"/>
    <w:rsid w:val="00FC1B08"/>
    <w:rsid w:val="00FD05BD"/>
    <w:rsid w:val="00FE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37B6F5"/>
  <w15:chartTrackingRefBased/>
  <w15:docId w15:val="{0F6F657A-54C4-4045-8CB3-99FCC6DF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DD"/>
    <w:pPr>
      <w:widowControl w:val="0"/>
    </w:pPr>
    <w:rPr>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link w:val="FooterChar"/>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character" w:customStyle="1" w:styleId="Normal12Char">
    <w:name w:val="Normal12 Char"/>
    <w:link w:val="Normal12"/>
    <w:rsid w:val="002A1C82"/>
    <w:rPr>
      <w:sz w:val="24"/>
      <w:lang w:val="fr-FR" w:eastAsia="en-GB" w:bidi="ar-SA"/>
    </w:rPr>
  </w:style>
  <w:style w:type="paragraph" w:customStyle="1" w:styleId="EntPE">
    <w:name w:val="EntPE"/>
    <w:basedOn w:val="Normal12"/>
    <w:rsid w:val="007201F1"/>
    <w:pPr>
      <w:jc w:val="center"/>
    </w:pPr>
    <w:rPr>
      <w:sz w:val="56"/>
    </w:rPr>
  </w:style>
  <w:style w:type="paragraph" w:styleId="TOC1">
    <w:name w:val="toc 1"/>
    <w:basedOn w:val="Normal12"/>
    <w:next w:val="Normal12"/>
    <w:autoRedefine/>
    <w:semiHidden/>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FA192C"/>
    <w:rPr>
      <w:sz w:val="24"/>
      <w:lang w:val="fr-FR"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8F0DDD"/>
    <w:rPr>
      <w:b/>
      <w:sz w:val="24"/>
      <w:lang w:val="fr-FR" w:eastAsia="en-GB" w:bidi="ar-SA"/>
    </w:rPr>
  </w:style>
  <w:style w:type="paragraph" w:customStyle="1" w:styleId="Normal12Bold">
    <w:name w:val="Normal12Bold"/>
    <w:basedOn w:val="Normal12"/>
    <w:rPr>
      <w:b/>
    </w:rPr>
  </w:style>
  <w:style w:type="paragraph" w:customStyle="1" w:styleId="Normal12Italic">
    <w:name w:val="Normal12Italic"/>
    <w:basedOn w:val="Normal12"/>
    <w:rsid w:val="00AF2819"/>
    <w:rPr>
      <w:i/>
      <w:noProof/>
    </w:rPr>
  </w:style>
  <w:style w:type="paragraph" w:customStyle="1" w:styleId="Normal12Hanging">
    <w:name w:val="Normal12Hanging"/>
    <w:basedOn w:val="Normal12"/>
    <w:pPr>
      <w:ind w:left="567" w:hanging="567"/>
    </w:pPr>
  </w:style>
  <w:style w:type="paragraph" w:customStyle="1" w:styleId="CoverBold">
    <w:name w:val="CoverBold"/>
    <w:basedOn w:val="CoverNormal"/>
    <w:rsid w:val="005E50C2"/>
    <w:rPr>
      <w:b/>
    </w:rPr>
  </w:style>
  <w:style w:type="paragraph" w:customStyle="1" w:styleId="CoverNormal">
    <w:name w:val="CoverNormal"/>
    <w:basedOn w:val="Normal"/>
    <w:pPr>
      <w:ind w:left="1418"/>
    </w:pPr>
  </w:style>
  <w:style w:type="paragraph" w:customStyle="1" w:styleId="EPName">
    <w:name w:val="EPName"/>
    <w:basedOn w:val="Normal"/>
    <w:rsid w:val="009154FF"/>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rossRef">
    <w:name w:val="CrossRef"/>
    <w:basedOn w:val="Normal"/>
    <w:rsid w:val="00A233E9"/>
    <w:pPr>
      <w:spacing w:before="240"/>
      <w:jc w:val="center"/>
    </w:pPr>
    <w:rPr>
      <w:i/>
    </w:rPr>
  </w:style>
  <w:style w:type="paragraph" w:customStyle="1" w:styleId="DocRef">
    <w:name w:val="DocRef"/>
    <w:basedOn w:val="Normal"/>
    <w:pPr>
      <w:spacing w:after="960"/>
      <w:jc w:val="center"/>
    </w:pPr>
    <w:rPr>
      <w:rFonts w:ascii="Arial" w:hAnsi="Arial"/>
      <w:b/>
    </w:rPr>
  </w:style>
  <w:style w:type="paragraph" w:customStyle="1" w:styleId="DocType">
    <w:name w:val="DocType"/>
    <w:basedOn w:val="Normal12"/>
    <w:pPr>
      <w:jc w:val="center"/>
    </w:pPr>
    <w:rPr>
      <w:rFonts w:ascii="Arial" w:hAnsi="Arial"/>
      <w:b/>
      <w:sz w:val="28"/>
    </w:rPr>
  </w:style>
  <w:style w:type="paragraph" w:customStyle="1" w:styleId="JustificationTitle">
    <w:name w:val="JustificationTitle"/>
    <w:basedOn w:val="Normal12a12b"/>
    <w:next w:val="Normal12"/>
    <w:rsid w:val="00AF2819"/>
    <w:pPr>
      <w:keepNext/>
      <w:jc w:val="center"/>
    </w:pPr>
    <w:rPr>
      <w:i/>
      <w:noProof/>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A93389"/>
    <w:pPr>
      <w:tabs>
        <w:tab w:val="left" w:pos="567"/>
      </w:tabs>
    </w:pPr>
  </w:style>
  <w:style w:type="paragraph" w:customStyle="1" w:styleId="RefProc">
    <w:name w:val="RefProc"/>
    <w:basedOn w:val="Normal"/>
    <w:pPr>
      <w:spacing w:after="240"/>
      <w:jc w:val="right"/>
    </w:pPr>
    <w:rPr>
      <w:rFonts w:ascii="Arial" w:hAnsi="Arial"/>
      <w:b/>
      <w:caps/>
    </w:rPr>
  </w:style>
  <w:style w:type="paragraph" w:customStyle="1" w:styleId="TypeDocAM">
    <w:name w:val="TypeDocAM"/>
    <w:basedOn w:val="Normal"/>
    <w:rsid w:val="001C2054"/>
    <w:pPr>
      <w:ind w:left="1418"/>
    </w:pPr>
    <w:rPr>
      <w:rFonts w:ascii="Arial" w:hAnsi="Arial"/>
      <w:b/>
      <w:sz w:val="48"/>
    </w:rPr>
  </w:style>
  <w:style w:type="paragraph" w:customStyle="1" w:styleId="ZDate">
    <w:name w:val="ZDate"/>
    <w:basedOn w:val="Normal"/>
    <w:rsid w:val="00280EA6"/>
    <w:pPr>
      <w:spacing w:after="1680"/>
    </w:pPr>
  </w:style>
  <w:style w:type="paragraph" w:styleId="Header">
    <w:name w:val="header"/>
    <w:basedOn w:val="Normal"/>
    <w:link w:val="HeaderChar"/>
    <w:pPr>
      <w:tabs>
        <w:tab w:val="center" w:pos="4153"/>
        <w:tab w:val="right" w:pos="8306"/>
      </w:tabs>
    </w:pPr>
  </w:style>
  <w:style w:type="paragraph" w:customStyle="1" w:styleId="NRAMS">
    <w:name w:val="NRAMS"/>
    <w:basedOn w:val="TypeDocAM"/>
    <w:rsid w:val="001C2054"/>
    <w:pPr>
      <w:spacing w:after="480"/>
    </w:pPr>
    <w:rPr>
      <w:sz w:val="46"/>
    </w:rPr>
  </w:style>
  <w:style w:type="paragraph" w:customStyle="1" w:styleId="NormalCentreKeep">
    <w:name w:val="NormalCentreKeep"/>
    <w:basedOn w:val="Normal"/>
    <w:rsid w:val="00FA192C"/>
    <w:pPr>
      <w:keepNext/>
      <w:jc w:val="center"/>
    </w:pPr>
    <w:rPr>
      <w:noProof/>
    </w:rPr>
  </w:style>
  <w:style w:type="paragraph" w:customStyle="1" w:styleId="Olang">
    <w:name w:val="Olang"/>
    <w:basedOn w:val="Normal12a12b"/>
    <w:rsid w:val="00FA192C"/>
    <w:pPr>
      <w:jc w:val="right"/>
    </w:pPr>
    <w:rPr>
      <w:noProof/>
    </w:rPr>
  </w:style>
  <w:style w:type="paragraph" w:customStyle="1" w:styleId="ColumnHeading">
    <w:name w:val="ColumnHeading"/>
    <w:basedOn w:val="Normal"/>
    <w:rsid w:val="006F3F81"/>
    <w:pPr>
      <w:spacing w:after="240"/>
      <w:jc w:val="center"/>
    </w:pPr>
    <w:rPr>
      <w:i/>
    </w:rPr>
  </w:style>
  <w:style w:type="paragraph" w:customStyle="1" w:styleId="AMNumberTabs">
    <w:name w:val="AMNumberTabs"/>
    <w:basedOn w:val="Normal"/>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F2903"/>
    <w:pPr>
      <w:spacing w:before="240"/>
    </w:pPr>
    <w:rPr>
      <w:b/>
    </w:rPr>
  </w:style>
  <w:style w:type="table" w:styleId="TableGrid">
    <w:name w:val="Table Grid"/>
    <w:basedOn w:val="TableNormal"/>
    <w:rsid w:val="000E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0E7234"/>
    <w:pPr>
      <w:jc w:val="center"/>
    </w:pPr>
    <w:rPr>
      <w:rFonts w:ascii="Arial" w:hAnsi="Arial" w:cs="Arial"/>
      <w:i/>
      <w:sz w:val="22"/>
      <w:szCs w:val="22"/>
    </w:rPr>
  </w:style>
  <w:style w:type="paragraph" w:customStyle="1" w:styleId="LineTop">
    <w:name w:val="LineTop"/>
    <w:basedOn w:val="Normal"/>
    <w:next w:val="ZCommittee"/>
    <w:rsid w:val="000E7234"/>
    <w:pPr>
      <w:pBdr>
        <w:top w:val="single" w:sz="4" w:space="1" w:color="auto"/>
      </w:pBdr>
      <w:jc w:val="center"/>
    </w:pPr>
    <w:rPr>
      <w:rFonts w:ascii="Arial" w:hAnsi="Arial"/>
      <w:sz w:val="16"/>
      <w:szCs w:val="16"/>
    </w:rPr>
  </w:style>
  <w:style w:type="paragraph" w:customStyle="1" w:styleId="LineBottom">
    <w:name w:val="LineBottom"/>
    <w:basedOn w:val="Normal"/>
    <w:next w:val="Normal"/>
    <w:rsid w:val="000E7234"/>
    <w:pPr>
      <w:pBdr>
        <w:bottom w:val="single" w:sz="4" w:space="1" w:color="auto"/>
      </w:pBdr>
      <w:spacing w:after="960"/>
      <w:jc w:val="center"/>
    </w:pPr>
    <w:rPr>
      <w:rFonts w:ascii="Arial" w:hAnsi="Arial"/>
      <w:sz w:val="16"/>
      <w:szCs w:val="16"/>
    </w:rPr>
  </w:style>
  <w:style w:type="paragraph" w:customStyle="1" w:styleId="EPTerm">
    <w:name w:val="EPTerm"/>
    <w:basedOn w:val="Normal"/>
    <w:next w:val="Normal"/>
    <w:rsid w:val="009154FF"/>
    <w:pPr>
      <w:spacing w:after="80"/>
    </w:pPr>
    <w:rPr>
      <w:rFonts w:ascii="Arial" w:hAnsi="Arial" w:cs="Arial"/>
      <w:sz w:val="20"/>
      <w:szCs w:val="22"/>
    </w:rPr>
  </w:style>
  <w:style w:type="paragraph" w:customStyle="1" w:styleId="EPLogo">
    <w:name w:val="EPLogo"/>
    <w:basedOn w:val="Normal"/>
    <w:qFormat/>
    <w:rsid w:val="009154FF"/>
    <w:pPr>
      <w:jc w:val="right"/>
    </w:pPr>
  </w:style>
  <w:style w:type="paragraph" w:customStyle="1" w:styleId="CommitteeAM">
    <w:name w:val="CommitteeAM"/>
    <w:basedOn w:val="Normal"/>
    <w:rsid w:val="007201F1"/>
    <w:pPr>
      <w:spacing w:before="240" w:after="600"/>
      <w:jc w:val="center"/>
    </w:pPr>
    <w:rPr>
      <w:i/>
    </w:rPr>
  </w:style>
  <w:style w:type="paragraph" w:customStyle="1" w:styleId="ZDateAM">
    <w:name w:val="ZDateAM"/>
    <w:basedOn w:val="Normal"/>
    <w:rsid w:val="007201F1"/>
    <w:pPr>
      <w:tabs>
        <w:tab w:val="right" w:pos="9356"/>
      </w:tabs>
      <w:spacing w:after="480"/>
    </w:pPr>
    <w:rPr>
      <w:noProof/>
    </w:rPr>
  </w:style>
  <w:style w:type="paragraph" w:customStyle="1" w:styleId="ProjRap">
    <w:name w:val="ProjRap"/>
    <w:basedOn w:val="Normal"/>
    <w:rsid w:val="007201F1"/>
    <w:pPr>
      <w:tabs>
        <w:tab w:val="right" w:pos="9356"/>
      </w:tabs>
    </w:pPr>
    <w:rPr>
      <w:b/>
      <w:noProof/>
    </w:rPr>
  </w:style>
  <w:style w:type="paragraph" w:customStyle="1" w:styleId="PELeft">
    <w:name w:val="PELeft"/>
    <w:basedOn w:val="Normal"/>
    <w:rsid w:val="007201F1"/>
    <w:pPr>
      <w:spacing w:before="40" w:after="40"/>
    </w:pPr>
    <w:rPr>
      <w:rFonts w:ascii="Arial" w:hAnsi="Arial" w:cs="Arial"/>
      <w:sz w:val="22"/>
      <w:szCs w:val="22"/>
    </w:rPr>
  </w:style>
  <w:style w:type="paragraph" w:customStyle="1" w:styleId="PERight">
    <w:name w:val="PERight"/>
    <w:basedOn w:val="Normal"/>
    <w:next w:val="Normal"/>
    <w:rsid w:val="007201F1"/>
    <w:pPr>
      <w:jc w:val="right"/>
    </w:pPr>
    <w:rPr>
      <w:rFonts w:ascii="Arial" w:hAnsi="Arial" w:cs="Arial"/>
      <w:sz w:val="22"/>
      <w:szCs w:val="22"/>
    </w:rPr>
  </w:style>
  <w:style w:type="character" w:customStyle="1" w:styleId="Footer2Middle">
    <w:name w:val="Footer2Middle"/>
    <w:rsid w:val="007201F1"/>
    <w:rPr>
      <w:rFonts w:ascii="Arial" w:cs="Arial"/>
      <w:b w:val="0"/>
      <w:i/>
      <w:color w:val="C0C0C0"/>
      <w:sz w:val="22"/>
    </w:rPr>
  </w:style>
  <w:style w:type="character" w:customStyle="1" w:styleId="Heading1Char">
    <w:name w:val="Heading 1 Char"/>
    <w:link w:val="Heading1"/>
    <w:rsid w:val="007201F1"/>
    <w:rPr>
      <w:rFonts w:ascii="Arial" w:hAnsi="Arial"/>
      <w:b/>
      <w:kern w:val="28"/>
      <w:sz w:val="28"/>
    </w:rPr>
  </w:style>
  <w:style w:type="character" w:customStyle="1" w:styleId="Heading2Char">
    <w:name w:val="Heading 2 Char"/>
    <w:link w:val="Heading2"/>
    <w:rsid w:val="007201F1"/>
    <w:rPr>
      <w:rFonts w:ascii="Arial" w:hAnsi="Arial"/>
      <w:b/>
      <w:i/>
      <w:sz w:val="24"/>
    </w:rPr>
  </w:style>
  <w:style w:type="character" w:customStyle="1" w:styleId="Heading3Char">
    <w:name w:val="Heading 3 Char"/>
    <w:link w:val="Heading3"/>
    <w:rsid w:val="007201F1"/>
    <w:rPr>
      <w:rFonts w:ascii="Arial" w:hAnsi="Arial"/>
      <w:sz w:val="24"/>
    </w:rPr>
  </w:style>
  <w:style w:type="character" w:customStyle="1" w:styleId="Heading4Char">
    <w:name w:val="Heading 4 Char"/>
    <w:link w:val="Heading4"/>
    <w:rsid w:val="007201F1"/>
    <w:rPr>
      <w:rFonts w:ascii="Arial" w:hAnsi="Arial"/>
      <w:b/>
      <w:sz w:val="24"/>
    </w:rPr>
  </w:style>
  <w:style w:type="character" w:customStyle="1" w:styleId="Heading5Char">
    <w:name w:val="Heading 5 Char"/>
    <w:link w:val="Heading5"/>
    <w:rsid w:val="007201F1"/>
    <w:rPr>
      <w:sz w:val="22"/>
    </w:rPr>
  </w:style>
  <w:style w:type="character" w:customStyle="1" w:styleId="Heading6Char">
    <w:name w:val="Heading 6 Char"/>
    <w:link w:val="Heading6"/>
    <w:rsid w:val="007201F1"/>
    <w:rPr>
      <w:i/>
      <w:sz w:val="22"/>
    </w:rPr>
  </w:style>
  <w:style w:type="character" w:customStyle="1" w:styleId="Heading7Char">
    <w:name w:val="Heading 7 Char"/>
    <w:link w:val="Heading7"/>
    <w:rsid w:val="007201F1"/>
    <w:rPr>
      <w:rFonts w:ascii="Arial" w:hAnsi="Arial"/>
      <w:sz w:val="24"/>
    </w:rPr>
  </w:style>
  <w:style w:type="character" w:customStyle="1" w:styleId="Heading8Char">
    <w:name w:val="Heading 8 Char"/>
    <w:link w:val="Heading8"/>
    <w:rsid w:val="007201F1"/>
    <w:rPr>
      <w:rFonts w:ascii="Arial" w:hAnsi="Arial"/>
      <w:i/>
      <w:sz w:val="24"/>
    </w:rPr>
  </w:style>
  <w:style w:type="character" w:customStyle="1" w:styleId="Heading9Char">
    <w:name w:val="Heading 9 Char"/>
    <w:link w:val="Heading9"/>
    <w:rsid w:val="007201F1"/>
    <w:rPr>
      <w:rFonts w:ascii="Arial" w:hAnsi="Arial"/>
      <w:b/>
      <w:i/>
      <w:sz w:val="18"/>
    </w:rPr>
  </w:style>
  <w:style w:type="paragraph" w:customStyle="1" w:styleId="msonormal0">
    <w:name w:val="msonormal"/>
    <w:basedOn w:val="Normal"/>
    <w:rsid w:val="007201F1"/>
    <w:pPr>
      <w:widowControl/>
      <w:spacing w:before="100" w:beforeAutospacing="1" w:after="100" w:afterAutospacing="1"/>
    </w:pPr>
    <w:rPr>
      <w:szCs w:val="24"/>
    </w:rPr>
  </w:style>
  <w:style w:type="character" w:customStyle="1" w:styleId="HeaderChar">
    <w:name w:val="Header Char"/>
    <w:link w:val="Header"/>
    <w:rsid w:val="007201F1"/>
    <w:rPr>
      <w:sz w:val="24"/>
    </w:rPr>
  </w:style>
  <w:style w:type="character" w:customStyle="1" w:styleId="FooterChar">
    <w:name w:val="Footer Char"/>
    <w:link w:val="Footer"/>
    <w:rsid w:val="007201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tins\AppData\Local\Temp\AM_Com_Leg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AM_Com_LegReport</Template>
  <TotalTime>0</TotalTime>
  <Pages>164</Pages>
  <Words>35420</Words>
  <Characters>252898</Characters>
  <Application>Microsoft Office Word</Application>
  <DocSecurity>0</DocSecurity>
  <Lines>11495</Lines>
  <Paragraphs>5884</Paragraphs>
  <ScaleCrop>false</ScaleCrop>
  <HeadingPairs>
    <vt:vector size="2" baseType="variant">
      <vt:variant>
        <vt:lpstr>Title</vt:lpstr>
      </vt:variant>
      <vt:variant>
        <vt:i4>1</vt:i4>
      </vt:variant>
    </vt:vector>
  </HeadingPairs>
  <TitlesOfParts>
    <vt:vector size="1" baseType="lpstr">
      <vt:lpstr>AM_Com_LegReport</vt:lpstr>
    </vt:vector>
  </TitlesOfParts>
  <Company/>
  <LinksUpToDate>false</LinksUpToDate>
  <CharactersWithSpaces>282434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AM_Com_LegReport</dc:title>
  <dc:subject/>
  <dc:creator>MARTINS Fernanda</dc:creator>
  <cp:keywords/>
  <dc:description/>
  <cp:lastModifiedBy>JEGOROVA Livija</cp:lastModifiedBy>
  <cp:revision>2</cp:revision>
  <cp:lastPrinted>2018-12-12T14:22:00Z</cp:lastPrinted>
  <dcterms:created xsi:type="dcterms:W3CDTF">2019-01-10T16:42:00Z</dcterms:created>
  <dcterms:modified xsi:type="dcterms:W3CDTF">2019-01-10T16:42:00Z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9.5.1 Build [20181201]</vt:lpwstr>
  </property>
  <property fmtid="{D5CDD505-2E9C-101B-9397-08002B2CF9AE}" pid="3" name="LastEdited with">
    <vt:lpwstr>9.5.1 Build [20181101]</vt:lpwstr>
  </property>
  <property fmtid="{D5CDD505-2E9C-101B-9397-08002B2CF9AE}" pid="4" name="&lt;FdR&gt;">
    <vt:lpwstr>1170676</vt:lpwstr>
  </property>
  <property fmtid="{D5CDD505-2E9C-101B-9397-08002B2CF9AE}" pid="5" name="&lt;Type&gt;">
    <vt:lpwstr>AM</vt:lpwstr>
  </property>
  <property fmtid="{D5CDD505-2E9C-101B-9397-08002B2CF9AE}" pid="6" name="&lt;ModelCod&gt;">
    <vt:lpwstr>\\eiciBRUpr1\pdocep$\DocEP\DOCS\General\AM\AM_Leg\AM_Com_Leg\AM_Com_LegReport.dot(17/02/2016 10:46:16)</vt:lpwstr>
  </property>
  <property fmtid="{D5CDD505-2E9C-101B-9397-08002B2CF9AE}" pid="7" name="&lt;ModelTra&gt;">
    <vt:lpwstr>\\eiciBRUpr1\pdocep$\DocEP\TRANSFIL\EN\AM_Com_LegReport.EN(19/02/2018 15:26:56)</vt:lpwstr>
  </property>
  <property fmtid="{D5CDD505-2E9C-101B-9397-08002B2CF9AE}" pid="8" name="&lt;Model&gt;">
    <vt:lpwstr>AM_Com_LegReport</vt:lpwstr>
  </property>
  <property fmtid="{D5CDD505-2E9C-101B-9397-08002B2CF9AE}" pid="9" name="FooterPath">
    <vt:lpwstr>AM\1170676FR.docx</vt:lpwstr>
  </property>
  <property fmtid="{D5CDD505-2E9C-101B-9397-08002B2CF9AE}" pid="10" name="PE number">
    <vt:lpwstr>631.782</vt:lpwstr>
  </property>
  <property fmtid="{D5CDD505-2E9C-101B-9397-08002B2CF9AE}" pid="11" name="SendToEpades">
    <vt:lpwstr>OK(AMNUM) - 2018/12/12 15:38</vt:lpwstr>
  </property>
  <property fmtid="{D5CDD505-2E9C-101B-9397-08002B2CF9AE}" pid="12" name="SubscribeElise">
    <vt:lpwstr/>
  </property>
  <property fmtid="{D5CDD505-2E9C-101B-9397-08002B2CF9AE}" pid="13" name="SDLStudio">
    <vt:lpwstr/>
  </property>
  <property fmtid="{D5CDD505-2E9C-101B-9397-08002B2CF9AE}" pid="14" name="&lt;Extension&gt;">
    <vt:lpwstr>FR</vt:lpwstr>
  </property>
  <property fmtid="{D5CDD505-2E9C-101B-9397-08002B2CF9AE}" pid="15" name="Bookout">
    <vt:lpwstr>OK - 2019/01/10 17:34</vt:lpwstr>
  </property>
</Properties>
</file>