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4A0" w:firstRow="1" w:lastRow="0" w:firstColumn="1" w:lastColumn="0" w:noHBand="0" w:noVBand="1"/>
      </w:tblPr>
      <w:tblGrid>
        <w:gridCol w:w="6804"/>
        <w:gridCol w:w="2268"/>
      </w:tblGrid>
      <w:tr w:rsidR="00CD27ED">
        <w:trPr>
          <w:trHeight w:hRule="exact" w:val="1417"/>
          <w:jc w:val="center"/>
        </w:trPr>
        <w:tc>
          <w:tcPr>
            <w:tcW w:w="6804" w:type="dxa"/>
            <w:vAlign w:val="center"/>
          </w:tcPr>
          <w:p w:rsidR="00A77B3E" w:rsidRDefault="00EC3B50">
            <w:pPr>
              <w:pStyle w:val="EPName"/>
            </w:pPr>
            <w:bookmarkStart w:id="0" w:name="_GoBack"/>
            <w:bookmarkEnd w:id="0"/>
            <w:r>
              <w:t>Parlement européen</w:t>
            </w:r>
          </w:p>
          <w:p w:rsidR="00CD27ED" w:rsidRDefault="00EC3B50">
            <w:pPr>
              <w:pStyle w:val="EPTerm"/>
            </w:pPr>
            <w:r>
              <w:t>2014-2019</w:t>
            </w:r>
          </w:p>
        </w:tc>
        <w:tc>
          <w:tcPr>
            <w:tcW w:w="2268" w:type="dxa"/>
          </w:tcPr>
          <w:p w:rsidR="00CD27ED" w:rsidRDefault="003F1B38">
            <w:pPr>
              <w:pStyle w:val="EPLogo"/>
            </w:pPr>
            <w:r>
              <w:rPr>
                <w:noProof/>
              </w:rPr>
              <w:drawing>
                <wp:inline distT="0" distB="0" distL="0" distR="0">
                  <wp:extent cx="116205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inline>
              </w:drawing>
            </w:r>
          </w:p>
        </w:tc>
      </w:tr>
    </w:tbl>
    <w:p w:rsidR="00A77B3E" w:rsidRDefault="00EC3B50">
      <w:pPr>
        <w:pStyle w:val="LineTop"/>
      </w:pPr>
    </w:p>
    <w:p w:rsidR="00CD27ED" w:rsidRDefault="00EC3B50">
      <w:pPr>
        <w:pStyle w:val="ZCommittee"/>
      </w:pPr>
      <w:r>
        <w:rPr>
          <w:rStyle w:val="HideTWBExt"/>
        </w:rPr>
        <w:t>&lt;Commission&gt;</w:t>
      </w:r>
      <w:r>
        <w:rPr>
          <w:rStyle w:val="HideTWBInt"/>
        </w:rPr>
        <w:t>{AGRI}</w:t>
      </w:r>
      <w:r>
        <w:t>Commission de l'agriculture et du développement rural</w:t>
      </w:r>
      <w:r>
        <w:rPr>
          <w:rStyle w:val="HideTWBExt"/>
        </w:rPr>
        <w:t>&lt;/Commission&gt;</w:t>
      </w:r>
    </w:p>
    <w:p w:rsidR="00CD27ED" w:rsidRDefault="00CD27ED">
      <w:pPr>
        <w:pStyle w:val="LineBottom"/>
      </w:pPr>
    </w:p>
    <w:p w:rsidR="00CD27ED" w:rsidRDefault="00EC3B50">
      <w:pPr>
        <w:pStyle w:val="RefProc"/>
      </w:pPr>
      <w:r>
        <w:rPr>
          <w:rStyle w:val="HideTWBExt"/>
        </w:rPr>
        <w:t>&lt;RefProc&gt;</w:t>
      </w:r>
      <w:r>
        <w:t>2018/0332</w:t>
      </w:r>
      <w:r>
        <w:rPr>
          <w:rStyle w:val="HideTWBExt"/>
        </w:rPr>
        <w:t>&lt;/RefProc&gt;&lt;RefTypeProc&gt;</w:t>
      </w:r>
      <w:r>
        <w:t>(COD)</w:t>
      </w:r>
      <w:r>
        <w:rPr>
          <w:rStyle w:val="HideTWBExt"/>
        </w:rPr>
        <w:t>&lt;/RefTypeProc&gt;</w:t>
      </w:r>
    </w:p>
    <w:p w:rsidR="00CD27ED" w:rsidRDefault="00EC3B50">
      <w:pPr>
        <w:pStyle w:val="ZDate"/>
      </w:pPr>
      <w:r>
        <w:rPr>
          <w:rStyle w:val="HideTWBExt"/>
        </w:rPr>
        <w:t>&lt;Date&gt;</w:t>
      </w:r>
      <w:r>
        <w:rPr>
          <w:rStyle w:val="HideTWBInt"/>
        </w:rPr>
        <w:t>{21/01/2019}</w:t>
      </w:r>
      <w:r>
        <w:t>21.1.2019</w:t>
      </w:r>
      <w:r>
        <w:rPr>
          <w:rStyle w:val="HideTWBExt"/>
        </w:rPr>
        <w:t>&lt;/Date&gt;</w:t>
      </w:r>
    </w:p>
    <w:p w:rsidR="00CD27ED" w:rsidRDefault="00EC3B50">
      <w:pPr>
        <w:pStyle w:val="TypeDocAM"/>
      </w:pPr>
      <w:r>
        <w:rPr>
          <w:rStyle w:val="HideTWBExt"/>
        </w:rPr>
        <w:t>&lt;TypeAM&gt;</w:t>
      </w:r>
      <w:r>
        <w:t>AMENDEMENTS</w:t>
      </w:r>
      <w:r>
        <w:rPr>
          <w:rStyle w:val="HideTWBExt"/>
        </w:rPr>
        <w:t>&lt;/TypeAM&gt;</w:t>
      </w:r>
    </w:p>
    <w:p w:rsidR="00CD27ED" w:rsidRDefault="00EC3B50">
      <w:pPr>
        <w:pStyle w:val="NRAMS"/>
      </w:pPr>
      <w:r>
        <w:rPr>
          <w:rStyle w:val="HideTWBExt"/>
        </w:rPr>
        <w:t>&lt;</w:t>
      </w:r>
      <w:r>
        <w:rPr>
          <w:rStyle w:val="HideTWBExt"/>
        </w:rPr>
        <w:t>RangeAM&gt;</w:t>
      </w:r>
      <w:r>
        <w:t>1 - 47</w:t>
      </w:r>
      <w:r>
        <w:rPr>
          <w:rStyle w:val="HideTWBExt"/>
        </w:rPr>
        <w:t>&lt;/RangeAM&gt;</w:t>
      </w:r>
    </w:p>
    <w:p w:rsidR="00CD27ED" w:rsidRDefault="00EC3B50">
      <w:pPr>
        <w:pStyle w:val="CoverBold"/>
      </w:pPr>
      <w:r>
        <w:rPr>
          <w:rStyle w:val="HideTWBExt"/>
        </w:rPr>
        <w:t>&lt;TitreType&gt;</w:t>
      </w:r>
      <w:r>
        <w:t>Projet d'avis</w:t>
      </w:r>
      <w:r>
        <w:rPr>
          <w:rStyle w:val="HideTWBExt"/>
        </w:rPr>
        <w:t>&lt;/TitreType&gt;</w:t>
      </w:r>
    </w:p>
    <w:p w:rsidR="00CD27ED" w:rsidRDefault="00EC3B50">
      <w:pPr>
        <w:pStyle w:val="CoverBold"/>
      </w:pPr>
      <w:r>
        <w:rPr>
          <w:rStyle w:val="HideTWBExt"/>
        </w:rPr>
        <w:t>&lt;Rapporteur&gt;</w:t>
      </w:r>
      <w:r>
        <w:t>Ulrike Müller</w:t>
      </w:r>
      <w:r>
        <w:rPr>
          <w:rStyle w:val="HideTWBExt"/>
        </w:rPr>
        <w:t>&lt;/Rapporteur&gt;</w:t>
      </w:r>
    </w:p>
    <w:p w:rsidR="00CD27ED" w:rsidRDefault="00EC3B50">
      <w:pPr>
        <w:pStyle w:val="Cover24"/>
      </w:pPr>
      <w:r>
        <w:rPr>
          <w:rStyle w:val="HideTWBExt"/>
        </w:rPr>
        <w:t>&lt;DocRefPE&gt;</w:t>
      </w:r>
      <w:r>
        <w:t>(PE630.764v01-00)</w:t>
      </w:r>
      <w:r>
        <w:rPr>
          <w:rStyle w:val="HideTWBExt"/>
        </w:rPr>
        <w:t>&lt;/DocRefPE&gt;</w:t>
      </w:r>
    </w:p>
    <w:p w:rsidR="00CD27ED" w:rsidRDefault="00EC3B50">
      <w:pPr>
        <w:pStyle w:val="Cover24"/>
      </w:pPr>
      <w:r>
        <w:rPr>
          <w:rStyle w:val="HideTWBExt"/>
        </w:rPr>
        <w:t>&lt;Titre&gt;</w:t>
      </w:r>
      <w:r>
        <w:t>Mettent fin aux changements d’heure saisonnier</w:t>
      </w:r>
      <w:r>
        <w:rPr>
          <w:rStyle w:val="HideTWBExt"/>
        </w:rPr>
        <w:t>&lt;/Titre&gt;</w:t>
      </w:r>
    </w:p>
    <w:p w:rsidR="00CD27ED" w:rsidRDefault="00EC3B50">
      <w:pPr>
        <w:pStyle w:val="CoverNormal"/>
      </w:pPr>
      <w:r>
        <w:rPr>
          <w:rStyle w:val="HideTWBExt"/>
        </w:rPr>
        <w:t>&lt;DocAmend&gt;</w:t>
      </w:r>
      <w:r>
        <w:t>Proposition de directive</w:t>
      </w:r>
      <w:r>
        <w:rPr>
          <w:rStyle w:val="HideTWBExt"/>
        </w:rPr>
        <w:t>&lt;/DocAmend&gt;</w:t>
      </w:r>
    </w:p>
    <w:p w:rsidR="00CD27ED" w:rsidRDefault="00EC3B50">
      <w:pPr>
        <w:pStyle w:val="Cover24"/>
      </w:pPr>
      <w:r>
        <w:rPr>
          <w:rStyle w:val="HideTWBExt"/>
        </w:rPr>
        <w:t>&lt;DocRef&gt;</w:t>
      </w:r>
      <w:r>
        <w:t>(COM(2018)0639 – C8-0408/2018 – 2018/0332(COD))</w:t>
      </w:r>
      <w:r>
        <w:rPr>
          <w:rStyle w:val="HideTWBExt"/>
        </w:rPr>
        <w:t>&lt;/DocRef&gt;</w:t>
      </w:r>
    </w:p>
    <w:p w:rsidR="00CD27ED" w:rsidRDefault="00EC3B50">
      <w:r>
        <w:br w:type="page"/>
      </w:r>
      <w:r>
        <w:lastRenderedPageBreak/>
        <w:t>AM_Com_LegOpinion</w:t>
      </w:r>
    </w:p>
    <w:p w:rsidR="00CD27ED" w:rsidRDefault="00EC3B50">
      <w:pPr>
        <w:pStyle w:val="AMNumberTabs"/>
      </w:pPr>
      <w:r>
        <w:br w:type="page"/>
      </w:r>
      <w:r>
        <w:rPr>
          <w:rStyle w:val="HideTWBExt"/>
        </w:rPr>
        <w:lastRenderedPageBreak/>
        <w:t>&lt;RepeatBlock-Amend&gt;&lt;Amend&gt;</w:t>
      </w:r>
      <w:r>
        <w:t>Amendement</w:t>
      </w:r>
      <w:r>
        <w:tab/>
      </w:r>
      <w:r>
        <w:tab/>
      </w:r>
      <w:r>
        <w:rPr>
          <w:rStyle w:val="HideTWBExt"/>
        </w:rPr>
        <w:t>&lt;NumAm&gt;</w:t>
      </w:r>
      <w:r>
        <w:t>1</w:t>
      </w:r>
      <w:r>
        <w:rPr>
          <w:rStyle w:val="HideTWBExt"/>
        </w:rPr>
        <w:t>&lt;/NumAm&gt;</w:t>
      </w:r>
    </w:p>
    <w:p w:rsidR="00CD27ED" w:rsidRDefault="00EC3B50">
      <w:pPr>
        <w:pStyle w:val="NormalBold"/>
      </w:pPr>
      <w:r>
        <w:rPr>
          <w:rStyle w:val="HideTWBExt"/>
        </w:rPr>
        <w:t>&lt;RepeatBlock-By&gt;&lt;Members&gt;</w:t>
      </w:r>
      <w:r>
        <w:t>James Nicholson</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w:t>
      </w:r>
      <w:r>
        <w:rPr>
          <w:rStyle w:val="HideTWBExt"/>
        </w:rPr>
        <w:t>Article&gt;</w:t>
      </w:r>
      <w:r>
        <w:t>–</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CD27ED">
            <w:pPr>
              <w:pStyle w:val="ColumnHeading"/>
            </w:pPr>
          </w:p>
        </w:tc>
        <w:tc>
          <w:tcPr>
            <w:tcW w:w="4876" w:type="dxa"/>
          </w:tcPr>
          <w:p w:rsidR="00CD27ED" w:rsidRDefault="00EC3B50">
            <w:pPr>
              <w:pStyle w:val="ColumnHeading"/>
            </w:pPr>
            <w:r>
              <w:t>Proposition de rejet</w:t>
            </w:r>
          </w:p>
        </w:tc>
      </w:tr>
      <w:tr w:rsidR="00CD27ED">
        <w:trPr>
          <w:jc w:val="center"/>
        </w:trPr>
        <w:tc>
          <w:tcPr>
            <w:tcW w:w="4876" w:type="dxa"/>
          </w:tcPr>
          <w:p w:rsidR="00CD27ED" w:rsidRDefault="00CD27ED">
            <w:pPr>
              <w:pStyle w:val="ColumnHeading"/>
            </w:pPr>
          </w:p>
        </w:tc>
        <w:tc>
          <w:tcPr>
            <w:tcW w:w="4876" w:type="dxa"/>
          </w:tcPr>
          <w:p w:rsidR="00CD27ED" w:rsidRDefault="00EC3B50">
            <w:pPr>
              <w:pStyle w:val="Normal6BoldItalic"/>
            </w:pPr>
            <w:r>
              <w:t>La commission de l'agriculture et du développement rural invite la commission des transports et du tourisme, compétente au fond, à proposer le rejet de la proposition de directive mettant fin aux changements d’</w:t>
            </w:r>
            <w:r>
              <w:t>heure saisonniers et abrogeant la directive 2000/84/CE.</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w:t>
      </w:r>
      <w:r>
        <w:rPr>
          <w:rStyle w:val="HideTWBExt"/>
        </w:rPr>
        <w:t>&lt;/NumAm&gt;</w:t>
      </w:r>
    </w:p>
    <w:p w:rsidR="00CD27ED" w:rsidRDefault="00EC3B50">
      <w:pPr>
        <w:pStyle w:val="NormalBold"/>
      </w:pPr>
      <w:r>
        <w:rPr>
          <w:rStyle w:val="HideTWBExt"/>
        </w:rPr>
        <w:t>&lt;RepeatBlock-By&gt;&lt;Members&gt;</w:t>
      </w:r>
      <w:r>
        <w:t>Marc Tarabella, Ricardo Serrão Santos, Paolo De Castro</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w:t>
      </w:r>
      <w:r>
        <w:rPr>
          <w:rStyle w:val="HideTWBExt"/>
        </w:rPr>
        <w:t>DocAmend&gt;</w:t>
      </w:r>
      <w:r>
        <w:t>Proposition de directive</w:t>
      </w:r>
      <w:r>
        <w:rPr>
          <w:rStyle w:val="HideTWBExt"/>
        </w:rPr>
        <w:t>&lt;/DocAmend&gt;</w:t>
      </w:r>
    </w:p>
    <w:p w:rsidR="00CD27ED" w:rsidRDefault="00EC3B50">
      <w:pPr>
        <w:pStyle w:val="NormalBold"/>
      </w:pPr>
      <w:r>
        <w:rPr>
          <w:rStyle w:val="HideTWBExt"/>
        </w:rPr>
        <w:t>&lt;Article&gt;</w:t>
      </w:r>
      <w:r>
        <w:t>–</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CD27ED">
            <w:pPr>
              <w:pStyle w:val="ColumnHeading"/>
            </w:pPr>
          </w:p>
        </w:tc>
        <w:tc>
          <w:tcPr>
            <w:tcW w:w="4876" w:type="dxa"/>
          </w:tcPr>
          <w:p w:rsidR="00CD27ED" w:rsidRDefault="00EC3B50">
            <w:pPr>
              <w:pStyle w:val="ColumnHeading"/>
            </w:pPr>
            <w:r>
              <w:t>Proposition de rejet</w:t>
            </w:r>
          </w:p>
        </w:tc>
      </w:tr>
      <w:tr w:rsidR="00CD27ED">
        <w:trPr>
          <w:jc w:val="center"/>
        </w:trPr>
        <w:tc>
          <w:tcPr>
            <w:tcW w:w="4876" w:type="dxa"/>
          </w:tcPr>
          <w:p w:rsidR="00CD27ED" w:rsidRDefault="00CD27ED">
            <w:pPr>
              <w:pStyle w:val="ColumnHeading"/>
            </w:pPr>
          </w:p>
        </w:tc>
        <w:tc>
          <w:tcPr>
            <w:tcW w:w="4876" w:type="dxa"/>
          </w:tcPr>
          <w:p w:rsidR="00CD27ED" w:rsidRDefault="00EC3B50">
            <w:pPr>
              <w:pStyle w:val="Normal6BoldItalic"/>
            </w:pPr>
            <w:r>
              <w:t xml:space="preserve">La commission de l’agriculture et du développement rural invite la commission du développement transport et du tourisme, compétente au fond, à proposer le rejet de </w:t>
            </w:r>
            <w:r>
              <w:t>la proposition de la Commission.</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pPr>
        <w:pStyle w:val="JustificationTitle"/>
      </w:pPr>
      <w:r>
        <w:rPr>
          <w:rStyle w:val="HideTWBExt"/>
        </w:rPr>
        <w:t>&lt;TitreJust&gt;</w:t>
      </w:r>
      <w:r>
        <w:t>Justification</w:t>
      </w:r>
      <w:r>
        <w:rPr>
          <w:rStyle w:val="HideTWBExt"/>
        </w:rPr>
        <w:t>&lt;/TitreJust&gt;</w:t>
      </w:r>
    </w:p>
    <w:p w:rsidR="00CD27ED" w:rsidRDefault="00EC3B50">
      <w:pPr>
        <w:pStyle w:val="Normal12Italic"/>
      </w:pPr>
      <w:r>
        <w:t xml:space="preserve">Compte tenu du risque d'absence d'harmonisation entre les États membres en ce qui concerne le choix de leur heure légale et de leur incapacité à </w:t>
      </w:r>
      <w:r>
        <w:t>parvenir à un accord, il est préférable de maintenir la situation actuelle, qui a le mérite d'être harmonisée.</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w:t>
      </w:r>
      <w:r>
        <w:rPr>
          <w:rStyle w:val="HideTWBExt"/>
        </w:rPr>
        <w:t>&lt;/NumAm&gt;</w:t>
      </w:r>
    </w:p>
    <w:p w:rsidR="00CD27ED" w:rsidRDefault="00EC3B50">
      <w:pPr>
        <w:pStyle w:val="NormalBold"/>
      </w:pPr>
      <w:r>
        <w:rPr>
          <w:rStyle w:val="HideTWBExt"/>
        </w:rPr>
        <w:t>&lt;RepeatBlock-By&gt;&lt;Members&gt;</w:t>
      </w:r>
      <w:r>
        <w:t>Maria Gabriela Zoană</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w:t>
      </w:r>
      <w:r>
        <w:t>irective</w:t>
      </w:r>
      <w:r>
        <w:rPr>
          <w:rStyle w:val="HideTWBExt"/>
        </w:rPr>
        <w:t>&lt;/DocAmend&gt;</w:t>
      </w:r>
    </w:p>
    <w:p w:rsidR="00CD27ED" w:rsidRDefault="00EC3B50">
      <w:pPr>
        <w:pStyle w:val="NormalBold"/>
      </w:pPr>
      <w:r>
        <w:rPr>
          <w:rStyle w:val="HideTWBExt"/>
        </w:rPr>
        <w:t>&lt;Article&gt;</w:t>
      </w:r>
      <w:r>
        <w:t>Considérant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t xml:space="preserve">Dans sa résolution du 8 février 2018, le Parlement européen a invité la Commission à procéder à une évaluation des dispositions relatives à </w:t>
            </w:r>
            <w:r>
              <w:t>l’heure d’été telles que prévues par la directive 2000/84/CE et, le cas échéant, à présenter une proposition en vue de sa révision. Cette résolution a également confirmé qu’il est essentiel de maintenir une approche harmonisée des régimes horaires dans l’e</w:t>
            </w:r>
            <w:r>
              <w:t>nsemble de l’Union.</w:t>
            </w:r>
          </w:p>
        </w:tc>
        <w:tc>
          <w:tcPr>
            <w:tcW w:w="4876" w:type="dxa"/>
          </w:tcPr>
          <w:p w:rsidR="00CD27ED" w:rsidRDefault="00EC3B50">
            <w:pPr>
              <w:pStyle w:val="Normal6"/>
            </w:pPr>
            <w:r>
              <w:t>(2)</w:t>
            </w:r>
            <w:r>
              <w:tab/>
              <w:t>Dans sa résolution du 8 février 2018, le Parlement européen a invité la Commission à procéder</w:t>
            </w:r>
            <w:r>
              <w:rPr>
                <w:b/>
                <w:i/>
              </w:rPr>
              <w:t>, en collaboration avec les États membres,</w:t>
            </w:r>
            <w:r>
              <w:t xml:space="preserve"> à une évaluation des dispositions relatives à l’heure d’été telles que prévues par la directive </w:t>
            </w:r>
            <w:r>
              <w:t>2000/84/CE et, le cas échéant, à présenter une proposition en vue de sa révision. Cette résolution a également confirmé qu’il est essentiel de maintenir une approche harmonisée des régimes horaires dans l’ensemble de l’Union.</w:t>
            </w:r>
          </w:p>
        </w:tc>
      </w:tr>
    </w:tbl>
    <w:p w:rsidR="00CD27ED" w:rsidRDefault="00EC3B50">
      <w:pPr>
        <w:pStyle w:val="Olang"/>
      </w:pPr>
      <w:r>
        <w:t xml:space="preserve">Or. </w:t>
      </w:r>
      <w:r>
        <w:rPr>
          <w:rStyle w:val="HideTWBExt"/>
        </w:rPr>
        <w:t>&lt;Original&gt;</w:t>
      </w:r>
      <w:r>
        <w:rPr>
          <w:rStyle w:val="HideTWBInt"/>
        </w:rPr>
        <w:t>{RO}</w:t>
      </w:r>
      <w:r>
        <w:t>ro</w:t>
      </w:r>
      <w:r>
        <w:rPr>
          <w:rStyle w:val="HideTWBExt"/>
        </w:rPr>
        <w:t>&lt;/Origina</w:t>
      </w:r>
      <w:r>
        <w:rPr>
          <w:rStyle w:val="HideTWBExt"/>
        </w:rPr>
        <w:t>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w:t>
      </w:r>
      <w:r>
        <w:rPr>
          <w:rStyle w:val="HideTWBExt"/>
        </w:rPr>
        <w:t>&lt;/NumAm&gt;</w:t>
      </w:r>
    </w:p>
    <w:p w:rsidR="00CD27ED" w:rsidRDefault="00EC3B50">
      <w:pPr>
        <w:pStyle w:val="NormalBold"/>
      </w:pPr>
      <w:r>
        <w:rPr>
          <w:rStyle w:val="HideTWBExt"/>
        </w:rPr>
        <w:t>&lt;RepeatBlock-By&gt;&lt;Members&gt;</w:t>
      </w:r>
      <w:r>
        <w:t>Maria Gabriela Zoană</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3</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(3)</w:t>
            </w:r>
            <w:r>
              <w:tab/>
              <w:t xml:space="preserve">La </w:t>
            </w:r>
            <w:r>
              <w:t xml:space="preserve">Commission a examiné les éléments de preuve disponibles, qui soulignent l’importance de disposer de règles harmonisées de l'Union dans ce domaine afin de garantir le bon fonctionnement du marché intérieur et d’éviter, entre autres, des perturbations de la </w:t>
            </w:r>
            <w:r>
              <w:t>planification des opérations de transport et du fonctionnement des systèmes d’information et de communication, une augmentation des coûts pour le commerce transfrontalier ou encore une baisse de la productivité dans le marché intérieur des biens et des ser</w:t>
            </w:r>
            <w:r>
              <w:t>vices. Les éléments de preuve ne sont pas concluants sur la question de savoir si les avantages des dispositions relatives à l’heure d’été l’emportent sur les inconvénients liés aux changements d’heure semestriels.</w:t>
            </w:r>
          </w:p>
        </w:tc>
        <w:tc>
          <w:tcPr>
            <w:tcW w:w="4876" w:type="dxa"/>
          </w:tcPr>
          <w:p w:rsidR="00CD27ED" w:rsidRDefault="00EC3B50">
            <w:pPr>
              <w:pStyle w:val="Normal6"/>
            </w:pPr>
            <w:r>
              <w:t>(3)</w:t>
            </w:r>
            <w:r>
              <w:tab/>
              <w:t xml:space="preserve">La Commission a examiné les éléments </w:t>
            </w:r>
            <w:r>
              <w:t xml:space="preserve">de preuve disponibles, qui soulignent l’importance de disposer de règles harmonisées de l'Union dans ce domaine afin de garantir le bon fonctionnement du marché intérieur et d’éviter, entre autres, des perturbations de la planification </w:t>
            </w:r>
            <w:r>
              <w:rPr>
                <w:b/>
                <w:i/>
              </w:rPr>
              <w:t>et du déroulement</w:t>
            </w:r>
            <w:r>
              <w:t xml:space="preserve"> de</w:t>
            </w:r>
            <w:r>
              <w:t xml:space="preserve">s opérations de transport </w:t>
            </w:r>
            <w:r>
              <w:rPr>
                <w:b/>
                <w:i/>
              </w:rPr>
              <w:t>des passagers ainsi que des marchandises,</w:t>
            </w:r>
            <w:r>
              <w:t xml:space="preserve"> et du fonctionnement des systèmes d’information et de communication, une augmentation des coûts pour le commerce transfrontalier ou encore une baisse de la productivité dans le marché inté</w:t>
            </w:r>
            <w:r>
              <w:t>rieur des biens et des services. Les éléments de preuve ne sont pas concluants sur la question de savoir si les avantages des dispositions relatives à l’heure d’été l’emportent sur les inconvénients liés aux changements d’heure semestriels.</w:t>
            </w:r>
          </w:p>
        </w:tc>
      </w:tr>
    </w:tbl>
    <w:p w:rsidR="00CD27ED" w:rsidRDefault="00EC3B50">
      <w:pPr>
        <w:pStyle w:val="Olang"/>
      </w:pPr>
      <w:r>
        <w:t xml:space="preserve">Or. </w:t>
      </w:r>
      <w:r>
        <w:rPr>
          <w:rStyle w:val="HideTWBExt"/>
        </w:rPr>
        <w:t>&lt;Original&gt;</w:t>
      </w:r>
      <w:r>
        <w:rPr>
          <w:rStyle w:val="HideTWBInt"/>
        </w:rPr>
        <w:t>{RO}</w:t>
      </w:r>
      <w:r>
        <w:t>ro</w:t>
      </w:r>
      <w:r>
        <w:rPr>
          <w:rStyle w:val="HideTWBExt"/>
        </w:rPr>
        <w:t>&lt;/Original&gt;</w:t>
      </w:r>
    </w:p>
    <w:p w:rsidR="00CD27ED" w:rsidRDefault="00EC3B50">
      <w:r>
        <w:rPr>
          <w:rStyle w:val="HideTWBExt"/>
        </w:rPr>
        <w:lastRenderedPageBreak/>
        <w:t>&lt;/Amend&gt;</w:t>
      </w:r>
    </w:p>
    <w:p w:rsidR="00CD27ED" w:rsidRDefault="00EC3B50">
      <w:pPr>
        <w:pStyle w:val="AMNumberTabs"/>
      </w:pPr>
      <w:r>
        <w:rPr>
          <w:rStyle w:val="HideTWBExt"/>
        </w:rPr>
        <w:t>&lt;Amend&gt;</w:t>
      </w:r>
      <w:r>
        <w:t>Amendement</w:t>
      </w:r>
      <w:r>
        <w:tab/>
      </w:r>
      <w:r>
        <w:tab/>
      </w:r>
      <w:r>
        <w:rPr>
          <w:rStyle w:val="HideTWBExt"/>
        </w:rPr>
        <w:t>&lt;NumAm&gt;</w:t>
      </w:r>
      <w:r>
        <w:t>5</w:t>
      </w:r>
      <w:r>
        <w:rPr>
          <w:rStyle w:val="HideTWBExt"/>
        </w:rPr>
        <w:t>&lt;/NumAm&gt;</w:t>
      </w:r>
    </w:p>
    <w:p w:rsidR="00CD27ED" w:rsidRDefault="00EC3B50">
      <w:pPr>
        <w:pStyle w:val="NormalBold"/>
      </w:pPr>
      <w:r>
        <w:rPr>
          <w:rStyle w:val="HideTWBExt"/>
        </w:rPr>
        <w:t>&lt;RepeatBlock-By&gt;&lt;Members&gt;</w:t>
      </w:r>
      <w:r>
        <w:t>Clara Eugenia Aguilera García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3</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proposé par la </w:t>
            </w:r>
            <w:r>
              <w:t>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(3)</w:t>
            </w:r>
            <w:r>
              <w:tab/>
              <w:t>La Commission a examiné les éléments de preuve disponibles, qui soulignent l’importance de disposer de règles harmonisées de l'Union dans ce domaine afin de garantir le bon fonctionnement du marché intérieur et d’éviter, entre au</w:t>
            </w:r>
            <w:r>
              <w:t xml:space="preserve">tres, des perturbations de la planification des opérations de transport et du fonctionnement des systèmes d’information et de communication, une augmentation des coûts pour le commerce transfrontalier ou encore une baisse de la productivité dans le marché </w:t>
            </w:r>
            <w:r>
              <w:t>intérieur des biens et des services. Les éléments de preuve ne sont pas concluants sur la question de savoir si les avantages des dispositions relatives à l’heure d’été l’emportent sur les inconvénients liés aux changements d’heure semestriels.</w:t>
            </w:r>
          </w:p>
        </w:tc>
        <w:tc>
          <w:tcPr>
            <w:tcW w:w="4876" w:type="dxa"/>
          </w:tcPr>
          <w:p w:rsidR="00CD27ED" w:rsidRDefault="00EC3B50">
            <w:pPr>
              <w:pStyle w:val="Normal6"/>
            </w:pPr>
            <w:r>
              <w:t>(3)</w:t>
            </w:r>
            <w:r>
              <w:tab/>
              <w:t>La Comm</w:t>
            </w:r>
            <w:r>
              <w:t>ission a examiné les éléments de preuve disponibles, qui soulignent l’importance de disposer de règles harmonisées de l'Union dans ce domaine afin de garantir le bon fonctionnement du marché intérieur</w:t>
            </w:r>
            <w:r>
              <w:rPr>
                <w:b/>
                <w:i/>
              </w:rPr>
              <w:t>, d'instaurer la sécurité juridique et la fiabilité à lo</w:t>
            </w:r>
            <w:r>
              <w:rPr>
                <w:b/>
                <w:i/>
              </w:rPr>
              <w:t>ng terme,</w:t>
            </w:r>
            <w:r>
              <w:t xml:space="preserve"> et d’éviter, entre autres, des perturbations de la planification des opérations de transport et du fonctionnement des systèmes d’information et de communication, une augmentation des coûts pour le commerce transfrontalier ou encore une baisse de </w:t>
            </w:r>
            <w:r>
              <w:t>la productivité dans le marché intérieur des biens et des services. Les éléments de preuve ne sont pas concluants sur la question de savoir si les avantages des dispositions relatives à l’heure d’été l’emportent sur les inconvénients liés aux changements d</w:t>
            </w:r>
            <w:r>
              <w:t>’heure semestriels.</w:t>
            </w:r>
          </w:p>
        </w:tc>
      </w:tr>
    </w:tbl>
    <w:p w:rsidR="00CD27ED" w:rsidRDefault="00EC3B50">
      <w:pPr>
        <w:pStyle w:val="Olang"/>
      </w:pPr>
      <w:r>
        <w:t xml:space="preserve">Or. </w:t>
      </w:r>
      <w:r>
        <w:rPr>
          <w:rStyle w:val="HideTWBExt"/>
        </w:rPr>
        <w:t>&lt;Original&gt;</w:t>
      </w:r>
      <w:r>
        <w:rPr>
          <w:rStyle w:val="HideTWBInt"/>
        </w:rPr>
        <w:t>{ES}</w:t>
      </w:r>
      <w:r>
        <w:t>es</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6</w:t>
      </w:r>
      <w:r>
        <w:rPr>
          <w:rStyle w:val="HideTWBExt"/>
        </w:rPr>
        <w:t>&lt;/NumAm&gt;</w:t>
      </w:r>
    </w:p>
    <w:p w:rsidR="00CD27ED" w:rsidRDefault="00EC3B50">
      <w:pPr>
        <w:pStyle w:val="NormalBold"/>
      </w:pPr>
      <w:r>
        <w:rPr>
          <w:rStyle w:val="HideTWBExt"/>
        </w:rPr>
        <w:t>&lt;RepeatBlock-By&gt;&lt;Members&gt;</w:t>
      </w:r>
      <w:r>
        <w:t>Daniel Buda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3</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w:t>
            </w:r>
            <w:r>
              <w:t>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(3)</w:t>
            </w:r>
            <w:r>
              <w:tab/>
              <w:t>La Commission a examiné les éléments de preuve disponibles, qui soulignent l’importance de disposer de règles harmonisées de l'Union dans ce domaine afin de garantir le bon fonctionnement du marché intérieur et d’é</w:t>
            </w:r>
            <w:r>
              <w:t xml:space="preserve">viter, entre autres, des perturbations de la planification des opérations de transport </w:t>
            </w:r>
            <w:r>
              <w:lastRenderedPageBreak/>
              <w:t xml:space="preserve">et du fonctionnement des systèmes d’information et de communication, une augmentation des coûts pour le commerce transfrontalier </w:t>
            </w:r>
            <w:r>
              <w:rPr>
                <w:b/>
                <w:i/>
              </w:rPr>
              <w:t>ou encore</w:t>
            </w:r>
            <w:r>
              <w:t xml:space="preserve"> une baisse de la productivité </w:t>
            </w:r>
            <w:r>
              <w:t>dans le marché intérieur des biens et des services. Les éléments de preuve ne sont pas concluants sur la question de savoir si les avantages des dispositions relatives à l’heure d’été l’emportent sur les inconvénients liés aux changements d’heure semestrie</w:t>
            </w:r>
            <w:r>
              <w:t>ls.</w:t>
            </w:r>
          </w:p>
        </w:tc>
        <w:tc>
          <w:tcPr>
            <w:tcW w:w="4876" w:type="dxa"/>
          </w:tcPr>
          <w:p w:rsidR="00CD27ED" w:rsidRDefault="00EC3B50">
            <w:pPr>
              <w:pStyle w:val="Normal6"/>
            </w:pPr>
            <w:r>
              <w:lastRenderedPageBreak/>
              <w:t>(3)</w:t>
            </w:r>
            <w:r>
              <w:tab/>
              <w:t>La Commission a examiné les éléments de preuve disponibles, qui soulignent l’importance de disposer de règles harmonisées de l’Union dans ce domaine afin de garantir le bon fonctionnement du marché intérieur et d’éviter, entre autres, des perturbat</w:t>
            </w:r>
            <w:r>
              <w:t xml:space="preserve">ions de la planification des opérations de transport </w:t>
            </w:r>
            <w:r>
              <w:lastRenderedPageBreak/>
              <w:t>et du fonctionnement des systèmes d’information et de communication, une augmentation des coûts pour le commerce transfrontalier</w:t>
            </w:r>
            <w:r>
              <w:rPr>
                <w:b/>
                <w:i/>
              </w:rPr>
              <w:t>,</w:t>
            </w:r>
            <w:r>
              <w:t xml:space="preserve"> une baisse de la productivité dans le marché intérieur des biens et des s</w:t>
            </w:r>
            <w:r>
              <w:t xml:space="preserve">ervices </w:t>
            </w:r>
            <w:r>
              <w:rPr>
                <w:b/>
                <w:i/>
              </w:rPr>
              <w:t>ou encore des répercussions sur la productivité agricole</w:t>
            </w:r>
            <w:r>
              <w:t>. Les éléments de preuve ne sont pas concluants sur la question de savoir si les avantages des dispositions relatives à l’heure d’été l’emportent sur les inconvénients liés aux changements d’h</w:t>
            </w:r>
            <w:r>
              <w:t>eure semestriels.</w:t>
            </w:r>
          </w:p>
        </w:tc>
      </w:tr>
    </w:tbl>
    <w:p w:rsidR="00CD27ED" w:rsidRDefault="00EC3B50">
      <w:pPr>
        <w:pStyle w:val="Olang"/>
      </w:pPr>
      <w:r>
        <w:lastRenderedPageBreak/>
        <w:t xml:space="preserve">Or. </w:t>
      </w:r>
      <w:r>
        <w:rPr>
          <w:rStyle w:val="HideTWBExt"/>
        </w:rPr>
        <w:t>&lt;Original&gt;</w:t>
      </w:r>
      <w:r>
        <w:rPr>
          <w:rStyle w:val="HideTWBInt"/>
        </w:rPr>
        <w:t>{RO}</w:t>
      </w:r>
      <w:r>
        <w:t>ro</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7</w:t>
      </w:r>
      <w:r>
        <w:rPr>
          <w:rStyle w:val="HideTWBExt"/>
        </w:rPr>
        <w:t>&lt;/NumAm&gt;</w:t>
      </w:r>
    </w:p>
    <w:p w:rsidR="00CD27ED" w:rsidRDefault="00EC3B50">
      <w:pPr>
        <w:pStyle w:val="NormalBold"/>
      </w:pPr>
      <w:r>
        <w:rPr>
          <w:rStyle w:val="HideTWBExt"/>
        </w:rPr>
        <w:t>&lt;RepeatBlock-By&gt;&lt;Members&gt;</w:t>
      </w:r>
      <w:r>
        <w:t>Annie Schreijer-Pierik</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3</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(3)</w:t>
            </w:r>
            <w:r>
              <w:tab/>
              <w:t xml:space="preserve">La Commission a examiné les éléments de preuve disponibles, qui soulignent l’importance de disposer de règles harmonisées de l'Union dans ce domaine afin de garantir le bon fonctionnement du marché intérieur </w:t>
            </w:r>
            <w:r>
              <w:t>et d’éviter, entre autres, des perturbations de la planification des opérations de transport et du fonctionnement des systèmes d’information et de communication, une augmentation des coûts pour le commerce transfrontalier ou encore une baisse de la product</w:t>
            </w:r>
            <w:r>
              <w:t xml:space="preserve">ivité dans le marché intérieur des biens et des services. Les éléments </w:t>
            </w:r>
            <w:r>
              <w:rPr>
                <w:b/>
                <w:i/>
              </w:rPr>
              <w:t>de preuve ne sont pas concluants sur la question de savoir si</w:t>
            </w:r>
            <w:r>
              <w:t xml:space="preserve"> les avantages des dispositions relatives à l’heure d’été l’emportent sur les inconvénients liés aux changements d’heure sem</w:t>
            </w:r>
            <w:r>
              <w:t>estriels.</w:t>
            </w:r>
          </w:p>
        </w:tc>
        <w:tc>
          <w:tcPr>
            <w:tcW w:w="4876" w:type="dxa"/>
          </w:tcPr>
          <w:p w:rsidR="00CD27ED" w:rsidRDefault="00EC3B50">
            <w:pPr>
              <w:pStyle w:val="Normal6"/>
            </w:pPr>
            <w:r>
              <w:t>(3)</w:t>
            </w:r>
            <w:r>
              <w:tab/>
              <w:t>La Commission a examiné les éléments de preuve disponibles, qui soulignent l’importance de disposer de règles harmonisées de l'Union dans ce domaine afin de garantir le bon fonctionnement du marché intérieur et d’éviter, entre autres, des per</w:t>
            </w:r>
            <w:r>
              <w:t>turbations de la planification des opérations de transport et du fonctionnement des systèmes d’information et de communication, une augmentation des coûts pour le commerce transfrontalier ou encore une baisse de la productivité dans le marché intérieur des</w:t>
            </w:r>
            <w:r>
              <w:t xml:space="preserve"> biens et des services. Les éléments </w:t>
            </w:r>
            <w:r>
              <w:rPr>
                <w:b/>
                <w:i/>
              </w:rPr>
              <w:t>indiquent que</w:t>
            </w:r>
            <w:r>
              <w:t xml:space="preserve"> les avantages des dispositions relatives à l’heure d’été </w:t>
            </w:r>
            <w:r>
              <w:rPr>
                <w:b/>
                <w:i/>
              </w:rPr>
              <w:t>ne</w:t>
            </w:r>
            <w:r>
              <w:t xml:space="preserve"> l’emportent </w:t>
            </w:r>
            <w:r>
              <w:rPr>
                <w:b/>
                <w:i/>
              </w:rPr>
              <w:t>pas</w:t>
            </w:r>
            <w:r>
              <w:t xml:space="preserve"> sur les inconvénients liés aux changements d’heure semestriels.</w:t>
            </w:r>
          </w:p>
        </w:tc>
      </w:tr>
    </w:tbl>
    <w:p w:rsidR="00CD27ED" w:rsidRDefault="00EC3B50">
      <w:pPr>
        <w:pStyle w:val="Olang"/>
      </w:pPr>
      <w:r>
        <w:t xml:space="preserve">Or. </w:t>
      </w:r>
      <w:r>
        <w:rPr>
          <w:rStyle w:val="HideTWBExt"/>
        </w:rPr>
        <w:t>&lt;Original&gt;</w:t>
      </w:r>
      <w:r>
        <w:rPr>
          <w:rStyle w:val="HideTWBInt"/>
        </w:rPr>
        <w:t>{NL}</w:t>
      </w:r>
      <w:r>
        <w:t>nl</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8</w:t>
      </w:r>
      <w:r>
        <w:rPr>
          <w:rStyle w:val="HideTWBExt"/>
        </w:rPr>
        <w:t>&lt;/NumAm&gt;</w:t>
      </w:r>
    </w:p>
    <w:p w:rsidR="00CD27ED" w:rsidRDefault="00EC3B50">
      <w:pPr>
        <w:pStyle w:val="NormalBold"/>
      </w:pPr>
      <w:r>
        <w:rPr>
          <w:rStyle w:val="HideTWBExt"/>
        </w:rPr>
        <w:lastRenderedPageBreak/>
        <w:t>&lt;RepeatBlock-By&gt;&lt;Members&gt;</w:t>
      </w:r>
      <w:r>
        <w:t>Philippe Loiseau, Jacques Colombier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3 bis (nouveau)</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CD27ED">
            <w:pPr>
              <w:pStyle w:val="Normal6"/>
            </w:pPr>
          </w:p>
        </w:tc>
        <w:tc>
          <w:tcPr>
            <w:tcW w:w="4876" w:type="dxa"/>
          </w:tcPr>
          <w:p w:rsidR="00CD27ED" w:rsidRDefault="00EC3B50">
            <w:pPr>
              <w:pStyle w:val="Normal6"/>
            </w:pPr>
            <w:r>
              <w:rPr>
                <w:b/>
                <w:i/>
              </w:rPr>
              <w:t>(3 bis)</w:t>
            </w:r>
            <w:r>
              <w:tab/>
            </w:r>
            <w:r>
              <w:rPr>
                <w:b/>
                <w:i/>
              </w:rPr>
              <w:t>Dans ce contexte, la situation du monde agricole et plus particulièrement des éleveurs peut servir d'exemple.</w:t>
            </w:r>
            <w:r>
              <w:t xml:space="preserve"> </w:t>
            </w:r>
            <w:r>
              <w:rPr>
                <w:b/>
                <w:i/>
              </w:rPr>
              <w:t>En raison du passage semestriel à l'heure d'été, il peut être plus difficile de trouver des débouchés pour les produits ou le</w:t>
            </w:r>
            <w:r>
              <w:rPr>
                <w:b/>
                <w:i/>
              </w:rPr>
              <w:t>s animaux sur les marchés.</w:t>
            </w:r>
            <w:r>
              <w:t xml:space="preserve"> </w:t>
            </w:r>
            <w:r>
              <w:rPr>
                <w:b/>
                <w:i/>
              </w:rPr>
              <w:t>Il est nécessaire de tenir également compte du fait que les animaux ne modifient pas leur rythme de traite sans conséquences, et que nous devons constater des réductions de rendement dans les périodes de changement.</w:t>
            </w:r>
            <w:r>
              <w:t xml:space="preserve"> </w:t>
            </w:r>
            <w:r>
              <w:rPr>
                <w:b/>
                <w:i/>
              </w:rPr>
              <w:t>Les agriculte</w:t>
            </w:r>
            <w:r>
              <w:rPr>
                <w:b/>
                <w:i/>
              </w:rPr>
              <w:t>urs eux-mêmes, dépendant des cycles naturels de leurs élevages, voient leurs conditions de travail modifiées.</w:t>
            </w:r>
          </w:p>
        </w:tc>
      </w:tr>
    </w:tbl>
    <w:p w:rsidR="00CD27ED" w:rsidRDefault="00EC3B50">
      <w:pPr>
        <w:pStyle w:val="Olang"/>
      </w:pPr>
      <w:r>
        <w:t xml:space="preserve">Or. </w:t>
      </w:r>
      <w:r>
        <w:rPr>
          <w:rStyle w:val="HideTWBExt"/>
        </w:rPr>
        <w:t>&lt;Original&gt;</w:t>
      </w:r>
      <w:r>
        <w:rPr>
          <w:rStyle w:val="HideTWBInt"/>
        </w:rPr>
        <w:t>{FR}</w:t>
      </w:r>
      <w:r>
        <w:t>fr</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9</w:t>
      </w:r>
      <w:r>
        <w:rPr>
          <w:rStyle w:val="HideTWBExt"/>
        </w:rPr>
        <w:t>&lt;/NumAm&gt;</w:t>
      </w:r>
    </w:p>
    <w:p w:rsidR="00CD27ED" w:rsidRDefault="00EC3B50">
      <w:pPr>
        <w:pStyle w:val="NormalBold"/>
      </w:pPr>
      <w:r>
        <w:rPr>
          <w:rStyle w:val="HideTWBExt"/>
        </w:rPr>
        <w:t>&lt;RepeatBlock-By&gt;&lt;Members&gt;</w:t>
      </w:r>
      <w:r>
        <w:t>James Nicholson</w:t>
      </w:r>
      <w:r>
        <w:rPr>
          <w:rStyle w:val="HideTWBExt"/>
        </w:rPr>
        <w:t>&lt;/Members&gt;</w:t>
      </w:r>
    </w:p>
    <w:p w:rsidR="00CD27ED" w:rsidRDefault="00EC3B50">
      <w:pPr>
        <w:pStyle w:val="NormalBold"/>
      </w:pPr>
      <w:r>
        <w:rPr>
          <w:rStyle w:val="HideTWBExt"/>
        </w:rPr>
        <w:t>&lt;/</w:t>
      </w:r>
      <w:r>
        <w:rPr>
          <w:rStyle w:val="HideTWBExt"/>
        </w:rPr>
        <w: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(4)</w:t>
            </w:r>
            <w:r>
              <w:tab/>
            </w:r>
            <w:r>
              <w:rPr>
                <w:b/>
                <w:i/>
              </w:rPr>
              <w:t>Les dispositions relatives à l’heure d’été font l’objet d’un vif débat public et certains États membres ont déj</w:t>
            </w:r>
            <w:r>
              <w:rPr>
                <w:b/>
                <w:i/>
              </w:rPr>
              <w:t>à indiqué qu’ils préféraient arrêter d’appliquer ces dispositions. Dans ce contexte, il est nécessaire de continuer à préserver le bon fonctionnement du marché intérieur et d’éviter toute perturbation majeure de ce marché causée par des divergences entre l</w:t>
            </w:r>
            <w:r>
              <w:rPr>
                <w:b/>
                <w:i/>
              </w:rPr>
              <w:t>es États membres dans ce domaine. Il y a donc lieu de mettre un terme de manière coordonnée aux dispositions relatives à l’heure d’été</w:t>
            </w:r>
            <w:r>
              <w:t>.</w:t>
            </w:r>
          </w:p>
        </w:tc>
        <w:tc>
          <w:tcPr>
            <w:tcW w:w="4876" w:type="dxa"/>
          </w:tcPr>
          <w:p w:rsidR="00CD27ED" w:rsidRDefault="00EC3B50">
            <w:pPr>
              <w:pStyle w:val="Normal6"/>
            </w:pPr>
            <w:r>
              <w:t>(4)</w:t>
            </w:r>
            <w:r>
              <w:tab/>
            </w:r>
            <w:r>
              <w:rPr>
                <w:b/>
                <w:i/>
              </w:rPr>
              <w:t>Plusieurs initiatives citoyennes ont fait part de la préoccupation des citoyens à propos du changement d'heure inter</w:t>
            </w:r>
            <w:r>
              <w:rPr>
                <w:b/>
                <w:i/>
              </w:rPr>
              <w:t>venant deux fois par an et les États membres devraient disposer du temps nécessaire et de la possibilité d'organiser leurs propres consultations publiques et analyses d'impact afin de mieux comprendre les implications de l'arrêt du changement d'heure saiso</w:t>
            </w:r>
            <w:r>
              <w:rPr>
                <w:b/>
                <w:i/>
              </w:rPr>
              <w:t>nnier dans toutes les régions</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lastRenderedPageBreak/>
        <w:t>&lt;/Amend&gt;</w:t>
      </w:r>
    </w:p>
    <w:p w:rsidR="00CD27ED" w:rsidRDefault="00EC3B50">
      <w:pPr>
        <w:pStyle w:val="AMNumberTabs"/>
      </w:pPr>
      <w:r>
        <w:rPr>
          <w:rStyle w:val="HideTWBExt"/>
        </w:rPr>
        <w:t>&lt;Amend&gt;</w:t>
      </w:r>
      <w:r>
        <w:t>Amendement</w:t>
      </w:r>
      <w:r>
        <w:tab/>
      </w:r>
      <w:r>
        <w:tab/>
      </w:r>
      <w:r>
        <w:rPr>
          <w:rStyle w:val="HideTWBExt"/>
        </w:rPr>
        <w:t>&lt;NumAm&gt;</w:t>
      </w:r>
      <w:r>
        <w:t>10</w:t>
      </w:r>
      <w:r>
        <w:rPr>
          <w:rStyle w:val="HideTWBExt"/>
        </w:rPr>
        <w:t>&lt;/NumAm&gt;</w:t>
      </w:r>
    </w:p>
    <w:p w:rsidR="00CD27ED" w:rsidRDefault="00EC3B50">
      <w:pPr>
        <w:pStyle w:val="NormalBold"/>
      </w:pPr>
      <w:r>
        <w:rPr>
          <w:rStyle w:val="HideTWBExt"/>
        </w:rPr>
        <w:t>&lt;RepeatBlock-By&gt;&lt;Members&gt;</w:t>
      </w:r>
      <w:r>
        <w:t>Luke Ming Flanagan</w:t>
      </w:r>
      <w:r>
        <w:rPr>
          <w:rStyle w:val="HideTWBExt"/>
        </w:rPr>
        <w:t>&lt;/Members&gt;</w:t>
      </w:r>
    </w:p>
    <w:p w:rsidR="00CD27ED" w:rsidRDefault="00EC3B50">
      <w:r>
        <w:rPr>
          <w:rStyle w:val="HideTWBExt"/>
        </w:rPr>
        <w:t>&lt;AuNomDe&gt;</w:t>
      </w:r>
      <w:r>
        <w:rPr>
          <w:rStyle w:val="HideTWBInt"/>
        </w:rPr>
        <w:t>{GUE/NGL}</w:t>
      </w:r>
      <w:r>
        <w:t>au 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(4)</w:t>
            </w:r>
            <w:r>
              <w:tab/>
            </w:r>
            <w:r>
              <w:rPr>
                <w:b/>
                <w:i/>
              </w:rPr>
              <w:t xml:space="preserve">Les dispositions relatives à l’heure d’été font l’objet d’un vif débat public et certains États membres ont déjà indiqué qu’ils </w:t>
            </w:r>
            <w:r>
              <w:rPr>
                <w:b/>
                <w:i/>
              </w:rPr>
              <w:t>préféraient arrêter d’appliquer ces dispositions</w:t>
            </w:r>
            <w:r>
              <w:t>. Dans ce contexte</w:t>
            </w:r>
            <w:r>
              <w:rPr>
                <w:b/>
                <w:i/>
              </w:rPr>
              <w:t>, il est nécessaire de continuer à</w:t>
            </w:r>
            <w:r>
              <w:t xml:space="preserve"> préserver le bon fonctionnement du marché intérieur et d’éviter toute perturbation majeure de ce marché causée par des divergences entre les États membres </w:t>
            </w:r>
            <w:r>
              <w:t>dans ce domaine</w:t>
            </w:r>
            <w:r>
              <w:rPr>
                <w:b/>
                <w:i/>
              </w:rPr>
              <w:t>. Il y a donc lieu</w:t>
            </w:r>
            <w:r>
              <w:t xml:space="preserve"> de mettre un terme </w:t>
            </w:r>
            <w:r>
              <w:rPr>
                <w:b/>
                <w:i/>
              </w:rPr>
              <w:t>de manière coordonnée</w:t>
            </w:r>
            <w:r>
              <w:t xml:space="preserve"> aux dispositions relatives à l’heure d’été.</w:t>
            </w:r>
          </w:p>
        </w:tc>
        <w:tc>
          <w:tcPr>
            <w:tcW w:w="4876" w:type="dxa"/>
          </w:tcPr>
          <w:p w:rsidR="00CD27ED" w:rsidRDefault="00EC3B50">
            <w:pPr>
              <w:pStyle w:val="Normal6"/>
            </w:pPr>
            <w:r>
              <w:t>(4)</w:t>
            </w:r>
            <w:r>
              <w:tab/>
            </w:r>
            <w:r>
              <w:rPr>
                <w:b/>
                <w:i/>
              </w:rPr>
              <w:t>Une consultation publique à laquelle 4,5 millions de personnes ont répondu a été organisée. Comme 70 % de ces personnes étaient origi</w:t>
            </w:r>
            <w:r>
              <w:rPr>
                <w:b/>
                <w:i/>
              </w:rPr>
              <w:t>naires d'un seul pays, on ne peut pas considérer qu'elles représentent l'avis de l'Union dans son ensemble</w:t>
            </w:r>
            <w:r>
              <w:t xml:space="preserve">. Dans ce contexte </w:t>
            </w:r>
            <w:r>
              <w:rPr>
                <w:b/>
                <w:i/>
              </w:rPr>
              <w:t>et afin de</w:t>
            </w:r>
            <w:r>
              <w:t xml:space="preserve"> préserver le bon fonctionnement du marché intérieur et d’éviter toute perturbation majeure de ce marché causée par des d</w:t>
            </w:r>
            <w:r>
              <w:t>ivergences entre les États membres dans ce domaine</w:t>
            </w:r>
            <w:r>
              <w:rPr>
                <w:b/>
                <w:i/>
              </w:rPr>
              <w:t>, il n'est pas indiqué</w:t>
            </w:r>
            <w:r>
              <w:t xml:space="preserve"> de mettre un terme aux dispositions relatives à l’heure d’été </w:t>
            </w:r>
            <w:r>
              <w:rPr>
                <w:b/>
                <w:i/>
              </w:rPr>
              <w:t>à ce stade</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11</w:t>
      </w:r>
      <w:r>
        <w:rPr>
          <w:rStyle w:val="HideTWBExt"/>
        </w:rPr>
        <w:t>&lt;/NumAm&gt;</w:t>
      </w:r>
    </w:p>
    <w:p w:rsidR="00CD27ED" w:rsidRDefault="00EC3B50">
      <w:pPr>
        <w:pStyle w:val="NormalBold"/>
      </w:pPr>
      <w:r>
        <w:rPr>
          <w:rStyle w:val="HideTWBExt"/>
        </w:rPr>
        <w:t>&lt;RepeatBlock-By&gt;&lt;Members&gt;</w:t>
      </w:r>
      <w:r>
        <w:t>Momch</w:t>
      </w:r>
      <w:r>
        <w:t>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(4)</w:t>
            </w:r>
            <w:r>
              <w:tab/>
              <w:t xml:space="preserve">Les dispositions relatives à l’heure d’été font l’objet d’un vif débat public et </w:t>
            </w:r>
            <w:r>
              <w:t>certains États membres ont déjà indiqué qu’ils préféraient arrêter d’appliquer ces dispositions. Dans ce contexte, il est nécessaire de continuer à préserver le bon fonctionnement du marché intérieur et d’éviter toute perturbation majeure de ce marché caus</w:t>
            </w:r>
            <w:r>
              <w:t xml:space="preserve">ée par des divergences entre les États membres dans ce domaine. Il y a donc lieu de mettre un terme de manière coordonnée aux dispositions relatives à </w:t>
            </w:r>
            <w:r>
              <w:lastRenderedPageBreak/>
              <w:t>l’heure d’été.</w:t>
            </w:r>
          </w:p>
        </w:tc>
        <w:tc>
          <w:tcPr>
            <w:tcW w:w="4876" w:type="dxa"/>
          </w:tcPr>
          <w:p w:rsidR="00CD27ED" w:rsidRDefault="00EC3B50">
            <w:pPr>
              <w:pStyle w:val="Normal6"/>
            </w:pPr>
            <w:r>
              <w:lastRenderedPageBreak/>
              <w:t>(4)</w:t>
            </w:r>
            <w:r>
              <w:tab/>
              <w:t>Les dispositions relatives à l’heure d’été font l’objet d’un vif débat public et certa</w:t>
            </w:r>
            <w:r>
              <w:t xml:space="preserve">ins États membres ont déjà indiqué qu’ils préféraient arrêter d’appliquer ces dispositions. </w:t>
            </w:r>
            <w:r>
              <w:rPr>
                <w:b/>
                <w:i/>
              </w:rPr>
              <w:t>Au cours des échanges, des experts dans divers domaines, y compris la médecine humaine et vétérinaire, l'agriculture, l'éducation et le tourisme, ont évalué les con</w:t>
            </w:r>
            <w:r>
              <w:rPr>
                <w:b/>
                <w:i/>
              </w:rPr>
              <w:t xml:space="preserve">séquences négatives des deux changements d'heure annuels. </w:t>
            </w:r>
            <w:r>
              <w:t xml:space="preserve"> Dans ce contexte, il est nécessaire de continuer à préserver le bon fonctionnement du marché intérieur et d’éviter toute perturbation </w:t>
            </w:r>
            <w:r>
              <w:lastRenderedPageBreak/>
              <w:t>majeure de ce marché causée par des divergences entre les États</w:t>
            </w:r>
            <w:r>
              <w:t xml:space="preserve"> membres dans ce domaine. Il y a donc lieu de mettre un terme de manière coordonnée aux dispositions relatives à l’heure d’été.</w:t>
            </w:r>
          </w:p>
        </w:tc>
      </w:tr>
    </w:tbl>
    <w:p w:rsidR="00CD27ED" w:rsidRDefault="00EC3B50">
      <w:pPr>
        <w:pStyle w:val="Olang"/>
      </w:pPr>
      <w:r>
        <w:lastRenderedPageBreak/>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12</w:t>
      </w:r>
      <w:r>
        <w:rPr>
          <w:rStyle w:val="HideTWBExt"/>
        </w:rPr>
        <w:t>&lt;/NumAm&gt;</w:t>
      </w:r>
    </w:p>
    <w:p w:rsidR="00CD27ED" w:rsidRDefault="00EC3B50">
      <w:pPr>
        <w:pStyle w:val="NormalBold"/>
      </w:pPr>
      <w:r>
        <w:rPr>
          <w:rStyle w:val="HideTWBExt"/>
        </w:rPr>
        <w:t>&lt;RepeatBlock-By&gt;&lt;Members&gt;</w:t>
      </w:r>
      <w:r>
        <w:t>Annie Schreijer-Pierik</w:t>
      </w:r>
      <w:r>
        <w:rPr>
          <w:rStyle w:val="HideTWBExt"/>
        </w:rPr>
        <w:t>&lt;/</w:t>
      </w:r>
      <w:r>
        <w:rPr>
          <w:rStyle w:val="HideTWBExt"/>
        </w:rPr>
        <w: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(4)</w:t>
            </w:r>
            <w:r>
              <w:tab/>
              <w:t xml:space="preserve">Les dispositions relatives à l’heure d’été font l’objet d’un vif débat public et certains États </w:t>
            </w:r>
            <w:r>
              <w:t>membres ont déjà indiqué qu’ils préféraient arrêter d’appliquer ces dispositions. Dans ce contexte, il est nécessaire de continuer à préserver le bon fonctionnement du marché intérieur et d’éviter toute perturbation majeure de ce marché causée par des dive</w:t>
            </w:r>
            <w:r>
              <w:t>rgences entre les États membres dans ce domaine. Il y a donc lieu de mettre un terme de manière coordonnée aux dispositions relatives à l’heure d’été.</w:t>
            </w:r>
          </w:p>
        </w:tc>
        <w:tc>
          <w:tcPr>
            <w:tcW w:w="4876" w:type="dxa"/>
          </w:tcPr>
          <w:p w:rsidR="00CD27ED" w:rsidRDefault="00EC3B50">
            <w:pPr>
              <w:pStyle w:val="Normal6"/>
            </w:pPr>
            <w:r>
              <w:t>(4)</w:t>
            </w:r>
            <w:r>
              <w:tab/>
              <w:t xml:space="preserve">Les dispositions relatives à l’heure d’été font l’objet d’un vif débat public </w:t>
            </w:r>
            <w:r>
              <w:rPr>
                <w:b/>
                <w:i/>
              </w:rPr>
              <w:t>grâce à la participatio</w:t>
            </w:r>
            <w:r>
              <w:rPr>
                <w:b/>
                <w:i/>
              </w:rPr>
              <w:t>n active de groupes d'action nationaux de nombreux États membres</w:t>
            </w:r>
            <w:r>
              <w:t xml:space="preserve"> et certains États membres ont déjà indiqué qu’ils préféraient arrêter d’appliquer ces dispositions. Dans ce contexte, il est nécessaire de continuer à préserver le bon fonctionnement du march</w:t>
            </w:r>
            <w:r>
              <w:t>é intérieur et d’éviter toute perturbation majeure de ce marché causée par des divergences entre les États membres dans ce domaine. Il y a donc lieu de mettre un terme de manière coordonnée aux dispositions relatives à l’heure d’été.</w:t>
            </w:r>
          </w:p>
        </w:tc>
      </w:tr>
    </w:tbl>
    <w:p w:rsidR="00CD27ED" w:rsidRDefault="00EC3B50">
      <w:pPr>
        <w:pStyle w:val="Olang"/>
      </w:pPr>
      <w:r>
        <w:t xml:space="preserve">Or. </w:t>
      </w:r>
      <w:r>
        <w:rPr>
          <w:rStyle w:val="HideTWBExt"/>
        </w:rPr>
        <w:t>&lt;Original&gt;</w:t>
      </w:r>
      <w:r>
        <w:rPr>
          <w:rStyle w:val="HideTWBInt"/>
        </w:rPr>
        <w:t>{NL}</w:t>
      </w:r>
      <w:r>
        <w:t>nl</w:t>
      </w:r>
      <w:r>
        <w:rPr>
          <w:rStyle w:val="HideTWBExt"/>
        </w:rPr>
        <w:t>&lt;</w:t>
      </w:r>
      <w:r>
        <w:rPr>
          <w:rStyle w:val="HideTWBExt"/>
        </w:rPr>
        <w: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13</w:t>
      </w:r>
      <w:r>
        <w:rPr>
          <w:rStyle w:val="HideTWBExt"/>
        </w:rPr>
        <w:t>&lt;/NumAm&gt;</w:t>
      </w:r>
    </w:p>
    <w:p w:rsidR="00CD27ED" w:rsidRDefault="00EC3B50">
      <w:pPr>
        <w:pStyle w:val="NormalBold"/>
      </w:pPr>
      <w:r>
        <w:rPr>
          <w:rStyle w:val="HideTWBExt"/>
        </w:rPr>
        <w:t>&lt;RepeatBlock-By&gt;&lt;Members&gt;</w:t>
      </w:r>
      <w:r>
        <w:t>Philippe Loiseau, Jacques Colombier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4</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proposé par la </w:t>
            </w:r>
            <w:r>
              <w:t>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(4)</w:t>
            </w:r>
            <w:r>
              <w:tab/>
              <w:t xml:space="preserve">Les dispositions relatives à l’heure d’été font l’objet d’un vif débat public et certains États membres ont déjà indiqué qu’ils préféraient arrêter d’appliquer ces dispositions. Dans ce contexte, il est nécessaire de continuer à </w:t>
            </w:r>
            <w:r>
              <w:t xml:space="preserve">préserver le bon </w:t>
            </w:r>
            <w:r>
              <w:lastRenderedPageBreak/>
              <w:t>fonctionnement du marché intérieur et d’éviter toute perturbation majeure de ce marché causée par des divergences entre les États membres dans ce domaine. Il y a donc lieu de mettre un terme de manière coordonnée aux dispositions relatives</w:t>
            </w:r>
            <w:r>
              <w:t xml:space="preserve"> à l’heure d’été.</w:t>
            </w:r>
          </w:p>
        </w:tc>
        <w:tc>
          <w:tcPr>
            <w:tcW w:w="4876" w:type="dxa"/>
          </w:tcPr>
          <w:p w:rsidR="00CD27ED" w:rsidRDefault="00EC3B50">
            <w:pPr>
              <w:pStyle w:val="Normal6"/>
            </w:pPr>
            <w:r>
              <w:lastRenderedPageBreak/>
              <w:t>(4)</w:t>
            </w:r>
            <w:r>
              <w:tab/>
              <w:t>Les dispositions relatives à l’heure d’été font l’objet d’un vif débat public et certains États membres ont déjà indiqué qu’ils préféraient arrêter d’appliquer ces dispositions. Dans ce contexte, il est nécessaire de continuer à prése</w:t>
            </w:r>
            <w:r>
              <w:t xml:space="preserve">rver le bon </w:t>
            </w:r>
            <w:r>
              <w:lastRenderedPageBreak/>
              <w:t>fonctionnement du marché intérieur et d’éviter toute perturbation majeure de ce marché causée par des divergences entre les États membres dans ce domaine. Il y a donc lieu de mettre un terme de manière coordonnée aux dispositions relatives à l’</w:t>
            </w:r>
            <w:r>
              <w:t>heure d’été</w:t>
            </w:r>
            <w:r>
              <w:rPr>
                <w:b/>
                <w:i/>
              </w:rPr>
              <w:t>, en regroupant les Etats membres selon les trois fuseaux horaires :</w:t>
            </w:r>
            <w:r>
              <w:t xml:space="preserve"> </w:t>
            </w:r>
            <w:r>
              <w:rPr>
                <w:b/>
                <w:i/>
              </w:rPr>
              <w:t>GMT+1, GMT+2 et GMT+3</w:t>
            </w:r>
            <w:r>
              <w:t>.</w:t>
            </w:r>
          </w:p>
        </w:tc>
      </w:tr>
    </w:tbl>
    <w:p w:rsidR="00CD27ED" w:rsidRDefault="00EC3B50">
      <w:pPr>
        <w:pStyle w:val="Olang"/>
      </w:pPr>
      <w:r>
        <w:lastRenderedPageBreak/>
        <w:t xml:space="preserve">Or. </w:t>
      </w:r>
      <w:r>
        <w:rPr>
          <w:rStyle w:val="HideTWBExt"/>
        </w:rPr>
        <w:t>&lt;Original&gt;</w:t>
      </w:r>
      <w:r>
        <w:rPr>
          <w:rStyle w:val="HideTWBInt"/>
        </w:rPr>
        <w:t>{FR}</w:t>
      </w:r>
      <w:r>
        <w:t>fr</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14</w:t>
      </w:r>
      <w:r>
        <w:rPr>
          <w:rStyle w:val="HideTWBExt"/>
        </w:rPr>
        <w:t>&lt;/NumAm&gt;</w:t>
      </w:r>
    </w:p>
    <w:p w:rsidR="00CD27ED" w:rsidRDefault="00EC3B50">
      <w:pPr>
        <w:pStyle w:val="NormalBold"/>
      </w:pPr>
      <w:r>
        <w:rPr>
          <w:rStyle w:val="HideTWBExt"/>
        </w:rPr>
        <w:t>&lt;RepeatBlock-By&gt;&lt;Members&gt;</w:t>
      </w:r>
      <w:r>
        <w:t>James Nicholson</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w:t>
      </w:r>
      <w:r>
        <w:rPr>
          <w:rStyle w:val="HideTWBExt"/>
        </w:rPr>
        <w:t>mend&gt;</w:t>
      </w:r>
      <w:r>
        <w:t>Proposition de directive</w:t>
      </w:r>
      <w:r>
        <w:rPr>
          <w:rStyle w:val="HideTWBExt"/>
        </w:rPr>
        <w:t>&lt;/DocAmend&gt;</w:t>
      </w:r>
    </w:p>
    <w:p w:rsidR="00CD27ED" w:rsidRDefault="00EC3B50">
      <w:pPr>
        <w:pStyle w:val="NormalBold"/>
      </w:pPr>
      <w:r>
        <w:rPr>
          <w:rStyle w:val="HideTWBExt"/>
        </w:rPr>
        <w:t>&lt;Article&gt;</w:t>
      </w:r>
      <w:r>
        <w:t>Considérant 4 bis (nouveau)</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CD27ED">
            <w:pPr>
              <w:pStyle w:val="Normal6"/>
            </w:pPr>
          </w:p>
        </w:tc>
        <w:tc>
          <w:tcPr>
            <w:tcW w:w="4876" w:type="dxa"/>
          </w:tcPr>
          <w:p w:rsidR="00CD27ED" w:rsidRDefault="00EC3B50">
            <w:pPr>
              <w:pStyle w:val="Normal6"/>
            </w:pPr>
            <w:r>
              <w:rPr>
                <w:b/>
                <w:i/>
              </w:rPr>
              <w:t>(4 bis)</w:t>
            </w:r>
            <w:r>
              <w:tab/>
            </w:r>
            <w:r>
              <w:rPr>
                <w:b/>
                <w:i/>
              </w:rPr>
              <w:t xml:space="preserve">Afin d'assurer la mise en œuvre harmonisée de la présente directive, les États membres se consultent et </w:t>
            </w:r>
            <w:r>
              <w:rPr>
                <w:b/>
                <w:i/>
              </w:rPr>
              <w:t>coordonnent tout changement de fuseau horaire afin que ceux-ci restent logiques et qu'il n'y ait pas de perturbations importantes pour le marché intérieur.</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15</w:t>
      </w:r>
      <w:r>
        <w:rPr>
          <w:rStyle w:val="HideTWBExt"/>
        </w:rPr>
        <w:t>&lt;/NumAm&gt;</w:t>
      </w:r>
    </w:p>
    <w:p w:rsidR="00CD27ED" w:rsidRDefault="00EC3B50">
      <w:pPr>
        <w:pStyle w:val="NormalBold"/>
      </w:pPr>
      <w:r>
        <w:rPr>
          <w:rStyle w:val="HideTWBExt"/>
        </w:rPr>
        <w:t>&lt;</w:t>
      </w:r>
      <w:r>
        <w:rPr>
          <w:rStyle w:val="HideTWBExt"/>
        </w:rPr>
        <w:t>RepeatBlock-By&gt;&lt;Members&gt;</w:t>
      </w:r>
      <w:r>
        <w:t>Annie Schreijer-Pierik</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(5)</w:t>
            </w:r>
            <w:r>
              <w:tab/>
              <w:t xml:space="preserve">La présente directive ne devrait pas porter </w:t>
            </w:r>
            <w:r>
              <w:t>atteinte au droit de chaque État membre de décider de l’heure légale ou des heures légales à appliquer dans les territoires relevant de sa juridiction et relevant du champ d’application territoriale des traités, ainsi que de décider de toute autre modifica</w:t>
            </w:r>
            <w:r>
              <w:t xml:space="preserve">tion à y apporter. Toutefois, afin de garantir que l’application des dispositions relatives à l’heure d’été par </w:t>
            </w:r>
            <w:r>
              <w:lastRenderedPageBreak/>
              <w:t>certains États membres uniquement ne perturbe pas le fonctionnement du marché intérieur, les États membres devraient s’abstenir de modifier l’he</w:t>
            </w:r>
            <w:r>
              <w:t>ure légale dans tout territoire donné relevant de leur juridiction pour des raisons liées à des changements saisonniers, même s'ils présentent ce changement comme étant une modification du fuseau horaire. Par ailleurs, afin de réduire au maximum les pertur</w:t>
            </w:r>
            <w:r>
              <w:t>bations, entre autres, pour le secteur des transports ou des communications et pour d’autres secteurs concernés, les États membres devraient notifier en temps utile à la Commission leur intention de modifier leur heure légale et appliquer ensuite les modif</w:t>
            </w:r>
            <w:r>
              <w:t>ications notifiées. La Commission devrait, sur la base de cette notification, informer tous les autres États membres afin qu’ils puissent prendre toutes les mesures nécessaires. Elle devrait également informer le grand public et les parties prenantes en pu</w:t>
            </w:r>
            <w:r>
              <w:t>bliant ces informations.</w:t>
            </w:r>
          </w:p>
        </w:tc>
        <w:tc>
          <w:tcPr>
            <w:tcW w:w="4876" w:type="dxa"/>
          </w:tcPr>
          <w:p w:rsidR="00CD27ED" w:rsidRDefault="00EC3B50">
            <w:pPr>
              <w:pStyle w:val="Normal6"/>
            </w:pPr>
            <w:r>
              <w:lastRenderedPageBreak/>
              <w:t>(5)</w:t>
            </w:r>
            <w:r>
              <w:tab/>
              <w:t>La présente directive ne devrait pas porter atteinte au droit de chaque État membre de décider de l’heure légale ou des heures légales à appliquer dans les territoires relevant de sa juridiction et relevant du champ d’applicati</w:t>
            </w:r>
            <w:r>
              <w:t xml:space="preserve">on territoriale des traités, ainsi que de décider de toute autre modification à y apporter. Toutefois, afin de garantir que l’application des dispositions relatives à l’heure d’été par </w:t>
            </w:r>
            <w:r>
              <w:lastRenderedPageBreak/>
              <w:t xml:space="preserve">certains États membres uniquement ne perturbe pas le fonctionnement du </w:t>
            </w:r>
            <w:r>
              <w:t xml:space="preserve">marché intérieur, les États membres devraient </w:t>
            </w:r>
            <w:r>
              <w:rPr>
                <w:b/>
                <w:i/>
              </w:rPr>
              <w:t>tous se prononcer soit pour l'heure légale, soit pour l'heure d'été à l'échelon de l'Union et</w:t>
            </w:r>
            <w:r>
              <w:t xml:space="preserve"> s’abstenir de modifier l’heure légale dans tout territoire donné relevant de leur juridiction pour des raisons liées</w:t>
            </w:r>
            <w:r>
              <w:t xml:space="preserve"> à des changements saisonniers, même s'ils présentent ce changement comme étant une modification du fuseau horaire. Par ailleurs, afin de réduire au maximum les perturbations, entre autres, pour le secteur des transports ou des communications et pour d’aut</w:t>
            </w:r>
            <w:r>
              <w:t>res secteurs concernés, les États membres devraient notifier en temps utile à la Commission leur intention de modifier leur heure légale et appliquer ensuite les modifications notifiées. La Commission devrait, sur la base de cette notification, informer to</w:t>
            </w:r>
            <w:r>
              <w:t>us les autres États membres afin qu’ils puissent prendre toutes les mesures nécessaires. Elle devrait également informer le grand public et les parties prenantes en publiant ces informations.</w:t>
            </w:r>
          </w:p>
        </w:tc>
      </w:tr>
    </w:tbl>
    <w:p w:rsidR="00CD27ED" w:rsidRDefault="00EC3B50">
      <w:pPr>
        <w:pStyle w:val="Olang"/>
      </w:pPr>
      <w:r>
        <w:lastRenderedPageBreak/>
        <w:t xml:space="preserve">Or. </w:t>
      </w:r>
      <w:r>
        <w:rPr>
          <w:rStyle w:val="HideTWBExt"/>
        </w:rPr>
        <w:t>&lt;Original&gt;</w:t>
      </w:r>
      <w:r>
        <w:rPr>
          <w:rStyle w:val="HideTWBInt"/>
        </w:rPr>
        <w:t>{NL}</w:t>
      </w:r>
      <w:r>
        <w:t>nl</w:t>
      </w:r>
      <w:r>
        <w:rPr>
          <w:rStyle w:val="HideTWBExt"/>
        </w:rPr>
        <w:t>&lt;/Original&gt;</w:t>
      </w:r>
    </w:p>
    <w:p w:rsidR="00CD27ED" w:rsidRDefault="00EC3B50">
      <w:pPr>
        <w:pStyle w:val="JustificationTitle"/>
      </w:pPr>
      <w:r>
        <w:rPr>
          <w:rStyle w:val="HideTWBExt"/>
        </w:rPr>
        <w:t>&lt;TitreJust&gt;</w:t>
      </w:r>
      <w:r>
        <w:t>Justification</w:t>
      </w:r>
      <w:r>
        <w:rPr>
          <w:rStyle w:val="HideTWBExt"/>
        </w:rPr>
        <w:t>&lt;/Titre</w:t>
      </w:r>
      <w:r>
        <w:rPr>
          <w:rStyle w:val="HideTWBExt"/>
        </w:rPr>
        <w:t>Just&gt;</w:t>
      </w:r>
    </w:p>
    <w:p w:rsidR="00CD27ED" w:rsidRDefault="00EC3B50">
      <w:pPr>
        <w:pStyle w:val="Normal12Italic"/>
      </w:pPr>
      <w:r>
        <w:t>Le choix soit de l'heure légale, soit de l'heure d'été à l'échelon de l'Union serait bénéfique au marché intérieur et aux citoyens car il éviterait d'avoir toutes sortes d'heures dans l'Union.</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16</w:t>
      </w:r>
      <w:r>
        <w:rPr>
          <w:rStyle w:val="HideTWBExt"/>
        </w:rPr>
        <w:t>&lt;/NumAm&gt;</w:t>
      </w:r>
    </w:p>
    <w:p w:rsidR="00CD27ED" w:rsidRDefault="00EC3B50">
      <w:pPr>
        <w:pStyle w:val="NormalBold"/>
      </w:pPr>
      <w:r>
        <w:rPr>
          <w:rStyle w:val="HideTWBExt"/>
        </w:rPr>
        <w:t>&lt;</w:t>
      </w:r>
      <w:r>
        <w:rPr>
          <w:rStyle w:val="HideTWBExt"/>
        </w:rPr>
        <w:t>RepeatBlock-By&gt;&lt;Members&gt;</w:t>
      </w:r>
      <w:r>
        <w:t>Daniel Buda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5</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(5)</w:t>
            </w:r>
            <w:r>
              <w:tab/>
              <w:t>La présente directive ne devrait pas porter atteinte au droit d</w:t>
            </w:r>
            <w:r>
              <w:t xml:space="preserve">e chaque État membre de décider de l’heure légale ou des heures légales à appliquer dans les territoires relevant de sa juridiction et relevant du champ d’application territoriale des traités, ainsi que de décider de toute autre modification à y apporter. </w:t>
            </w:r>
            <w:r>
              <w:t xml:space="preserve">Toutefois, </w:t>
            </w:r>
            <w:r>
              <w:lastRenderedPageBreak/>
              <w:t>afin de garantir que l’application des dispositions relatives à l’heure d’été par certains États membres uniquement ne perturbe pas le fonctionnement du marché intérieur, les États membres devraient s’abstenir de modifier l’heure légale dans tou</w:t>
            </w:r>
            <w:r>
              <w:t>t territoire donné relevant de leur juridiction pour des raisons liées à des changements saisonniers, même s'ils présentent ce changement comme étant une modification du fuseau horaire. Par ailleurs, afin de réduire au maximum les perturbations, entre autr</w:t>
            </w:r>
            <w:r>
              <w:t xml:space="preserve">es, pour </w:t>
            </w:r>
            <w:r>
              <w:rPr>
                <w:b/>
                <w:i/>
              </w:rPr>
              <w:t>le secteur</w:t>
            </w:r>
            <w:r>
              <w:t xml:space="preserve"> des transports </w:t>
            </w:r>
            <w:r>
              <w:rPr>
                <w:b/>
                <w:i/>
              </w:rPr>
              <w:t>ou</w:t>
            </w:r>
            <w:r>
              <w:t xml:space="preserve"> des communications et pour d’autres secteurs concernés, les États membres devraient notifier en temps utile à la Commission leur intention de modifier leur heure légale et appliquer ensuite les modifications notifiées.</w:t>
            </w:r>
            <w:r>
              <w:t xml:space="preserve"> La Commission devrait, sur la base de cette notification, informer tous les autres États membres afin qu’ils puissent prendre toutes les mesures nécessaires. Elle devrait également informer le grand public et les parties prenantes en publiant ces informat</w:t>
            </w:r>
            <w:r>
              <w:t>ions.</w:t>
            </w:r>
          </w:p>
        </w:tc>
        <w:tc>
          <w:tcPr>
            <w:tcW w:w="4876" w:type="dxa"/>
          </w:tcPr>
          <w:p w:rsidR="00CD27ED" w:rsidRDefault="00EC3B50">
            <w:pPr>
              <w:pStyle w:val="Normal6"/>
            </w:pPr>
            <w:r>
              <w:lastRenderedPageBreak/>
              <w:t>(5)</w:t>
            </w:r>
            <w:r>
              <w:tab/>
              <w:t>La présente directive ne devrait pas porter atteinte au droit de chaque État membre de décider de l’heure légale ou des heures légales à appliquer dans les territoires relevant de sa juridiction et relevant du champ d’application territoriale des</w:t>
            </w:r>
            <w:r>
              <w:t xml:space="preserve"> traités, ainsi que de décider de toute autre modification à y apporter. Toutefois, </w:t>
            </w:r>
            <w:r>
              <w:lastRenderedPageBreak/>
              <w:t>afin de garantir que l’application des dispositions relatives à l’heure d’été par certains États membres uniquement ne perturbe pas le fonctionnement du marché intérieur, l</w:t>
            </w:r>
            <w:r>
              <w:t>es États membres devraient s’abstenir de modifier l’heure légale dans tout territoire donné relevant de leur juridiction pour des raisons liées à des changements saisonniers, même s'ils présentent ce changement comme étant une modification du fuseau horair</w:t>
            </w:r>
            <w:r>
              <w:t xml:space="preserve">e. Par ailleurs, afin de réduire au maximum les perturbations, entre autres, pour </w:t>
            </w:r>
            <w:r>
              <w:rPr>
                <w:b/>
                <w:i/>
              </w:rPr>
              <w:t>les secteurs</w:t>
            </w:r>
            <w:r>
              <w:t xml:space="preserve"> des transports</w:t>
            </w:r>
            <w:r>
              <w:rPr>
                <w:b/>
                <w:i/>
              </w:rPr>
              <w:t>,</w:t>
            </w:r>
            <w:r>
              <w:t xml:space="preserve"> des communications et </w:t>
            </w:r>
            <w:r>
              <w:rPr>
                <w:b/>
                <w:i/>
              </w:rPr>
              <w:t>de l'agriculture ainsi que</w:t>
            </w:r>
            <w:r>
              <w:t xml:space="preserve"> pour d’autres secteurs concernés, les États membres devraient notifier en temps utile à la Commission leur intention de modifier leur heure légale et appliquer ensuite les modifications notifiées. La Commission devrait, sur la base de cette notification, </w:t>
            </w:r>
            <w:r>
              <w:t>informer tous les autres États membres afin qu’ils puissent prendre toutes les mesures nécessaires. Elle devrait également informer le grand public et les parties prenantes en publiant ces informations.</w:t>
            </w:r>
          </w:p>
        </w:tc>
      </w:tr>
    </w:tbl>
    <w:p w:rsidR="00CD27ED" w:rsidRDefault="00EC3B50">
      <w:pPr>
        <w:pStyle w:val="Olang"/>
      </w:pPr>
      <w:r>
        <w:lastRenderedPageBreak/>
        <w:t xml:space="preserve">Or. </w:t>
      </w:r>
      <w:r>
        <w:rPr>
          <w:rStyle w:val="HideTWBExt"/>
        </w:rPr>
        <w:t>&lt;Original&gt;</w:t>
      </w:r>
      <w:r>
        <w:rPr>
          <w:rStyle w:val="HideTWBInt"/>
        </w:rPr>
        <w:t>{RO}</w:t>
      </w:r>
      <w:r>
        <w:t>ro</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17</w:t>
      </w:r>
      <w:r>
        <w:rPr>
          <w:rStyle w:val="HideTWBExt"/>
        </w:rPr>
        <w:t>&lt;/NumAm&gt;</w:t>
      </w:r>
    </w:p>
    <w:p w:rsidR="00CD27ED" w:rsidRDefault="00EC3B50">
      <w:pPr>
        <w:pStyle w:val="NormalBold"/>
      </w:pPr>
      <w:r>
        <w:rPr>
          <w:rStyle w:val="HideTWBExt"/>
        </w:rPr>
        <w:t>&lt;RepeatBlock-By&gt;&lt;Members&gt;</w:t>
      </w:r>
      <w:r>
        <w:t>James Nicholson</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(7)</w:t>
            </w:r>
            <w:r>
              <w:tab/>
            </w:r>
            <w:r>
              <w:rPr>
                <w:b/>
                <w:i/>
              </w:rPr>
              <w:t xml:space="preserve">La présente </w:t>
            </w:r>
            <w:r>
              <w:rPr>
                <w:b/>
                <w:i/>
              </w:rPr>
              <w:t>directive devrait s’appliquer à partir du 1</w:t>
            </w:r>
            <w:r>
              <w:t xml:space="preserve">er </w:t>
            </w:r>
            <w:r>
              <w:rPr>
                <w:b/>
                <w:i/>
              </w:rPr>
              <w:t>avril 2019, de sorte que la dernière période de l’heure d’été soumise aux règles de la directive 2000/84/CE devrait commencer le 31 mars 2019 à 01 h 00 du matin, temps universel coordonné, dans tous les</w:t>
            </w:r>
            <w:r>
              <w:t xml:space="preserve"> États m</w:t>
            </w:r>
            <w:r>
              <w:t>embres</w:t>
            </w:r>
            <w:r>
              <w:rPr>
                <w:b/>
                <w:i/>
              </w:rPr>
              <w:t xml:space="preserve">. Les États membres qui, après cette période de l’heure d’été, ont l’intention d’opter pour une heure légale correspondant à l’heure appliquée </w:t>
            </w:r>
            <w:r>
              <w:rPr>
                <w:b/>
                <w:i/>
              </w:rPr>
              <w:lastRenderedPageBreak/>
              <w:t xml:space="preserve">pendant la saison hivernale conformément à la directive 2000/84/CE devraient modifier leur heure légale le </w:t>
            </w:r>
            <w:r>
              <w:rPr>
                <w:b/>
                <w:i/>
              </w:rPr>
              <w:t>27 octobre 2019 à 01 h 00 du matin, temps universel coordonné, de manière à garantir l’introduction simultanée</w:t>
            </w:r>
            <w:r>
              <w:t xml:space="preserve"> des changements </w:t>
            </w:r>
            <w:r>
              <w:rPr>
                <w:b/>
                <w:i/>
              </w:rPr>
              <w:t xml:space="preserve">similaires et durables intervenant dans différents États membres. Il est souhaitable que les États membres se concertent afin de </w:t>
            </w:r>
            <w:r>
              <w:rPr>
                <w:b/>
                <w:i/>
              </w:rPr>
              <w:t>prendre les décisions relatives à l’heure légale que chacun d’entre eux appliquera à partir de 2019</w:t>
            </w:r>
            <w:r>
              <w:t>.</w:t>
            </w:r>
          </w:p>
        </w:tc>
        <w:tc>
          <w:tcPr>
            <w:tcW w:w="4876" w:type="dxa"/>
          </w:tcPr>
          <w:p w:rsidR="00CD27ED" w:rsidRDefault="00EC3B50">
            <w:pPr>
              <w:pStyle w:val="Normal6"/>
            </w:pPr>
            <w:r>
              <w:lastRenderedPageBreak/>
              <w:t>(7)</w:t>
            </w:r>
            <w:r>
              <w:tab/>
            </w:r>
            <w:r>
              <w:rPr>
                <w:b/>
                <w:i/>
              </w:rPr>
              <w:t>Il faut donner aux</w:t>
            </w:r>
            <w:r>
              <w:t xml:space="preserve"> États membres </w:t>
            </w:r>
            <w:r>
              <w:rPr>
                <w:b/>
                <w:i/>
              </w:rPr>
              <w:t>le temps nécessaire à la préparation d'analyses nationales et à l'organisation de consultations publiques sur les inci</w:t>
            </w:r>
            <w:r>
              <w:rPr>
                <w:b/>
                <w:i/>
              </w:rPr>
              <w:t>dences de la suppression</w:t>
            </w:r>
            <w:r>
              <w:t xml:space="preserve"> des changements </w:t>
            </w:r>
            <w:r>
              <w:rPr>
                <w:b/>
                <w:i/>
              </w:rPr>
              <w:t>d'heure saisonniers et de l'abrogation de la directive 2000/84/CE ainsi qu'à l'adoption d'une approche coordonnée de sa mise en œuvre</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18</w:t>
      </w:r>
      <w:r>
        <w:rPr>
          <w:rStyle w:val="HideTWBExt"/>
        </w:rPr>
        <w:t>&lt;/NumAm&gt;</w:t>
      </w:r>
    </w:p>
    <w:p w:rsidR="00CD27ED" w:rsidRDefault="00EC3B50">
      <w:pPr>
        <w:pStyle w:val="NormalBold"/>
      </w:pPr>
      <w:r>
        <w:rPr>
          <w:rStyle w:val="HideTWBExt"/>
        </w:rPr>
        <w:t>&lt;</w:t>
      </w:r>
      <w:r>
        <w:rPr>
          <w:rStyle w:val="HideTWBExt"/>
        </w:rPr>
        <w:t>RepeatBlock-By&gt;&lt;Members&gt;</w:t>
      </w:r>
      <w:r>
        <w:t>Clara Eugenia Aguilera García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(7)</w:t>
            </w:r>
            <w:r>
              <w:tab/>
              <w:t xml:space="preserve">La présente directive devrait </w:t>
            </w:r>
            <w:r>
              <w:t>s’appliquer à partir du 1</w:t>
            </w:r>
            <w:r>
              <w:rPr>
                <w:sz w:val="20"/>
                <w:vertAlign w:val="superscript"/>
              </w:rPr>
              <w:t>er</w:t>
            </w:r>
            <w:r>
              <w:t xml:space="preserve"> </w:t>
            </w:r>
            <w:r>
              <w:rPr>
                <w:b/>
                <w:i/>
              </w:rPr>
              <w:t>avril 2019, de sorte que la dernière période de l’heure d’été soumise aux règles</w:t>
            </w:r>
            <w:r>
              <w:t xml:space="preserve"> de la </w:t>
            </w:r>
            <w:r>
              <w:rPr>
                <w:b/>
                <w:i/>
              </w:rPr>
              <w:t>directive 2000/84/CE devrait commencer le 31 mars 2019 à 01 h 00 du matin, temps universel coordonné, dans tous les États membres</w:t>
            </w:r>
            <w:r>
              <w:t>. Les États membres qui, après cette période de l’heure d’été, ont l’intention d’opter pour une heure légale correspondant à l’heure appliquée pendant la saison hivernale conformément à la directive 2000/84/CE devraient modifier leur heure légale le 27 oct</w:t>
            </w:r>
            <w:r>
              <w:t xml:space="preserve">obre </w:t>
            </w:r>
            <w:r>
              <w:rPr>
                <w:b/>
                <w:i/>
              </w:rPr>
              <w:t>2019</w:t>
            </w:r>
            <w:r>
              <w:t xml:space="preserve"> à 01 h 00 du matin, temps universel coordonné, de manière à garantir l’introduction simultanée des changements similaires et durables intervenant dans différents États membres. Il est souhaitable que les États membres se concertent afin de prendr</w:t>
            </w:r>
            <w:r>
              <w:t xml:space="preserve">e les décisions relatives à l’heure légale que chacun d’entre eux appliquera à partir de </w:t>
            </w:r>
            <w:r>
              <w:rPr>
                <w:b/>
                <w:i/>
              </w:rPr>
              <w:t>2019</w:t>
            </w:r>
            <w:r>
              <w:t>.</w:t>
            </w:r>
          </w:p>
        </w:tc>
        <w:tc>
          <w:tcPr>
            <w:tcW w:w="4876" w:type="dxa"/>
          </w:tcPr>
          <w:p w:rsidR="00CD27ED" w:rsidRDefault="00EC3B50">
            <w:pPr>
              <w:pStyle w:val="Normal6"/>
            </w:pPr>
            <w:r>
              <w:t>(7)</w:t>
            </w:r>
            <w:r>
              <w:tab/>
              <w:t>La présente directive devrait s’appliquer à partir du 1</w:t>
            </w:r>
            <w:r>
              <w:rPr>
                <w:sz w:val="20"/>
                <w:vertAlign w:val="superscript"/>
              </w:rPr>
              <w:t>er</w:t>
            </w:r>
            <w:r>
              <w:t xml:space="preserve"> </w:t>
            </w:r>
            <w:r>
              <w:rPr>
                <w:b/>
                <w:i/>
              </w:rPr>
              <w:t>janvier ... (indiquer l'année correspondant à deux ans après l'entrée en vigueur</w:t>
            </w:r>
            <w:r>
              <w:t xml:space="preserve"> de la </w:t>
            </w:r>
            <w:r>
              <w:rPr>
                <w:b/>
                <w:i/>
              </w:rPr>
              <w:t>présente dir</w:t>
            </w:r>
            <w:r>
              <w:rPr>
                <w:b/>
                <w:i/>
              </w:rPr>
              <w:t>ective)</w:t>
            </w:r>
            <w:r>
              <w:t>. Les États membres qui, après cette période de l’heure d’été, ont l’intention d’opter pour une heure légale correspondant à l’heure appliquée pendant la saison hivernale conformément à la directive 2000/84/CE devraient modifier leur heure légale le</w:t>
            </w:r>
            <w:r>
              <w:t xml:space="preserve"> 27 octobre </w:t>
            </w:r>
            <w:r>
              <w:rPr>
                <w:b/>
                <w:i/>
              </w:rPr>
              <w:t>20XX</w:t>
            </w:r>
            <w:r>
              <w:t xml:space="preserve"> à 01 h 00 du matin, temps universel coordonné, de manière à garantir l’introduction simultanée des changements similaires et durables intervenant dans différents États membres. Il est souhaitable que les États membres se concertent afin de</w:t>
            </w:r>
            <w:r>
              <w:t xml:space="preserve"> prendre les décisions relatives à l’heure légale que chacun d’entre eux appliquera à partir de </w:t>
            </w:r>
            <w:r>
              <w:rPr>
                <w:b/>
                <w:i/>
              </w:rPr>
              <w:t>20XX</w:t>
            </w:r>
            <w:r>
              <w:t>.</w:t>
            </w:r>
          </w:p>
        </w:tc>
      </w:tr>
    </w:tbl>
    <w:p w:rsidR="00CD27ED" w:rsidRDefault="00EC3B50">
      <w:pPr>
        <w:pStyle w:val="Olang"/>
      </w:pPr>
      <w:r>
        <w:t xml:space="preserve">Or. </w:t>
      </w:r>
      <w:r>
        <w:rPr>
          <w:rStyle w:val="HideTWBExt"/>
        </w:rPr>
        <w:t>&lt;Original&gt;</w:t>
      </w:r>
      <w:r>
        <w:rPr>
          <w:rStyle w:val="HideTWBInt"/>
        </w:rPr>
        <w:t>{ES}</w:t>
      </w:r>
      <w:r>
        <w:t>es</w:t>
      </w:r>
      <w:r>
        <w:rPr>
          <w:rStyle w:val="HideTWBExt"/>
        </w:rPr>
        <w:t>&lt;/Original&gt;</w:t>
      </w:r>
    </w:p>
    <w:p w:rsidR="00CD27ED" w:rsidRDefault="00EC3B50">
      <w:r>
        <w:rPr>
          <w:rStyle w:val="HideTWBExt"/>
        </w:rPr>
        <w:lastRenderedPageBreak/>
        <w:t>&lt;/Amend&gt;</w:t>
      </w:r>
    </w:p>
    <w:p w:rsidR="00CD27ED" w:rsidRDefault="00EC3B50">
      <w:pPr>
        <w:pStyle w:val="AMNumberTabs"/>
      </w:pPr>
      <w:r>
        <w:rPr>
          <w:rStyle w:val="HideTWBExt"/>
        </w:rPr>
        <w:t>&lt;Amend&gt;</w:t>
      </w:r>
      <w:r>
        <w:t>Amendement</w:t>
      </w:r>
      <w:r>
        <w:tab/>
      </w:r>
      <w:r>
        <w:tab/>
      </w:r>
      <w:r>
        <w:rPr>
          <w:rStyle w:val="HideTWBExt"/>
        </w:rPr>
        <w:t>&lt;NumAm&gt;</w:t>
      </w:r>
      <w:r>
        <w:t>19</w:t>
      </w:r>
      <w:r>
        <w:rPr>
          <w:rStyle w:val="HideTWBExt"/>
        </w:rPr>
        <w:t>&lt;/NumAm&gt;</w:t>
      </w:r>
    </w:p>
    <w:p w:rsidR="00CD27ED" w:rsidRDefault="00EC3B50">
      <w:pPr>
        <w:pStyle w:val="NormalBold"/>
      </w:pPr>
      <w:r>
        <w:rPr>
          <w:rStyle w:val="HideTWBExt"/>
        </w:rPr>
        <w:t>&lt;RepeatBlock-By&gt;&lt;Members&gt;</w:t>
      </w:r>
      <w:r>
        <w:t>Luke Ming Flanagan</w:t>
      </w:r>
      <w:r>
        <w:rPr>
          <w:rStyle w:val="HideTWBExt"/>
        </w:rPr>
        <w:t>&lt;/Members&gt;</w:t>
      </w:r>
    </w:p>
    <w:p w:rsidR="00CD27ED" w:rsidRDefault="00EC3B50">
      <w:r>
        <w:rPr>
          <w:rStyle w:val="HideTWBExt"/>
        </w:rPr>
        <w:t>&lt;AuNomDe&gt;</w:t>
      </w:r>
      <w:r>
        <w:rPr>
          <w:rStyle w:val="HideTWBInt"/>
        </w:rPr>
        <w:t>{GUE/NGL}</w:t>
      </w:r>
      <w:r>
        <w:t xml:space="preserve">au </w:t>
      </w:r>
      <w:r>
        <w:t>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(7)</w:t>
            </w:r>
            <w:r>
              <w:tab/>
              <w:t>La présente directive devrait s’appliquer à partir du 1</w:t>
            </w:r>
            <w:r>
              <w:rPr>
                <w:sz w:val="20"/>
                <w:vertAlign w:val="superscript"/>
              </w:rPr>
              <w:t>er</w:t>
            </w:r>
            <w:r>
              <w:t xml:space="preserve"> avril </w:t>
            </w:r>
            <w:r>
              <w:rPr>
                <w:b/>
                <w:i/>
              </w:rPr>
              <w:t>2019</w:t>
            </w:r>
            <w:r>
              <w:t xml:space="preserve">, de sorte que la dernière période de l’heure d’été soumise aux règles de la directive 2000/84/CE devrait commencer le 31 mars </w:t>
            </w:r>
            <w:r>
              <w:rPr>
                <w:b/>
                <w:i/>
              </w:rPr>
              <w:t>2019</w:t>
            </w:r>
            <w:r>
              <w:t xml:space="preserve"> à 01 h 00 du matin, temps universel coordonné, dans tous les États membres. Les États membres qui, après cette période de l’</w:t>
            </w:r>
            <w:r>
              <w:t xml:space="preserve">heure d’été, ont l’intention d’opter pour une heure légale correspondant à l’heure appliquée pendant la saison hivernale conformément à la directive 2000/84/CE devraient modifier leur heure légale le 27 octobre </w:t>
            </w:r>
            <w:r>
              <w:rPr>
                <w:b/>
                <w:i/>
              </w:rPr>
              <w:t>2019</w:t>
            </w:r>
            <w:r>
              <w:t xml:space="preserve"> à 01 h 00 du matin, temps universel coor</w:t>
            </w:r>
            <w:r>
              <w:t>donné, de manière à garantir l’introduction simultanée des changements similaires et durables intervenant dans différents États membres. Il est souhaitable que les États membres se concertent afin de prendre les décisions relatives à l’heure légale que cha</w:t>
            </w:r>
            <w:r>
              <w:t xml:space="preserve">cun d’entre eux appliquera à partir de </w:t>
            </w:r>
            <w:r>
              <w:rPr>
                <w:b/>
                <w:i/>
              </w:rPr>
              <w:t>2019</w:t>
            </w:r>
            <w:r>
              <w:t>.</w:t>
            </w:r>
          </w:p>
        </w:tc>
        <w:tc>
          <w:tcPr>
            <w:tcW w:w="4876" w:type="dxa"/>
          </w:tcPr>
          <w:p w:rsidR="00CD27ED" w:rsidRDefault="00EC3B50">
            <w:pPr>
              <w:pStyle w:val="Normal6"/>
            </w:pPr>
            <w:r>
              <w:t>(7)</w:t>
            </w:r>
            <w:r>
              <w:tab/>
              <w:t>La présente directive devrait s’appliquer à partir du 1</w:t>
            </w:r>
            <w:r>
              <w:rPr>
                <w:sz w:val="20"/>
                <w:vertAlign w:val="superscript"/>
              </w:rPr>
              <w:t>er</w:t>
            </w:r>
            <w:r>
              <w:t> avril </w:t>
            </w:r>
            <w:r>
              <w:rPr>
                <w:b/>
                <w:i/>
              </w:rPr>
              <w:t>2025</w:t>
            </w:r>
            <w:r>
              <w:t>, de sorte que la dernière période de l’heure d’été soumise aux règles de la directive 2000/84/CE devrait commencer le 31 mars </w:t>
            </w:r>
            <w:r>
              <w:rPr>
                <w:b/>
                <w:i/>
              </w:rPr>
              <w:t>2025</w:t>
            </w:r>
            <w:r>
              <w:t xml:space="preserve"> à 01 h 00 du matin, temps universel coordonné, dans tous les États membres. Les États membres qui, après cette période de l’heure d’été, ont l’intention d’opter pour une heure légale correspondant à l’heure appliquée pendant la saison hivernale conforméme</w:t>
            </w:r>
            <w:r>
              <w:t>nt à la directive 2000/84/CE devraient modifier leur heure légale le 27 octobre </w:t>
            </w:r>
            <w:r>
              <w:rPr>
                <w:b/>
                <w:i/>
              </w:rPr>
              <w:t>2025</w:t>
            </w:r>
            <w:r>
              <w:t xml:space="preserve"> à 01 h 00 du matin, temps universel coordonné, de manière à garantir l’introduction simultanée des changements similaires et durables intervenant dans différents États mem</w:t>
            </w:r>
            <w:r>
              <w:t xml:space="preserve">bres. Il est souhaitable que les États membres se concertent afin de prendre les décisions relatives à l’heure légale que chacun d’entre eux appliquera à partir de </w:t>
            </w:r>
            <w:r>
              <w:rPr>
                <w:b/>
                <w:i/>
              </w:rPr>
              <w:t>2025</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20</w:t>
      </w:r>
      <w:r>
        <w:rPr>
          <w:rStyle w:val="HideTWBExt"/>
        </w:rPr>
        <w:t>&lt;/NumAm&gt;</w:t>
      </w:r>
    </w:p>
    <w:p w:rsidR="00CD27ED" w:rsidRDefault="00EC3B50">
      <w:pPr>
        <w:pStyle w:val="NormalBold"/>
      </w:pPr>
      <w:r>
        <w:rPr>
          <w:rStyle w:val="HideTWBExt"/>
        </w:rPr>
        <w:t>&lt;Repeat</w:t>
      </w:r>
      <w:r>
        <w:rPr>
          <w:rStyle w:val="HideTWBExt"/>
        </w:rPr>
        <w:t>Block-By&gt;&lt;Members&gt;</w:t>
      </w:r>
      <w:r>
        <w:t>Philippe Loiseau, Jacques Colombier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(7)</w:t>
            </w:r>
            <w:r>
              <w:tab/>
            </w:r>
            <w:r>
              <w:t xml:space="preserve">La présente directive devrait s’appliquer à partir du </w:t>
            </w:r>
            <w:r>
              <w:rPr>
                <w:b/>
                <w:i/>
              </w:rPr>
              <w:t>1</w:t>
            </w:r>
            <w:r>
              <w:t xml:space="preserve">er avril </w:t>
            </w:r>
            <w:r>
              <w:rPr>
                <w:b/>
                <w:i/>
              </w:rPr>
              <w:t>2019</w:t>
            </w:r>
            <w:r>
              <w:t xml:space="preserve">, de sorte que la dernière période de l’heure d’été soumise aux règles de la directive 2000/84/CE devrait commencer le 31 mars </w:t>
            </w:r>
            <w:r>
              <w:rPr>
                <w:b/>
                <w:i/>
              </w:rPr>
              <w:lastRenderedPageBreak/>
              <w:t>2019</w:t>
            </w:r>
            <w:r>
              <w:t xml:space="preserve"> à 01 h 00 du matin, temps universel coordonné, dans tous</w:t>
            </w:r>
            <w:r>
              <w:t xml:space="preserve"> les États membres. Les États membres qui, après cette période de l’heure d’été, ont l’intention d’opter pour une heure légale correspondant à l’heure appliquée pendant la saison hivernale conformément à la directive 2000/84/CE devraient modifier leur heur</w:t>
            </w:r>
            <w:r>
              <w:t xml:space="preserve">e légale le </w:t>
            </w:r>
            <w:r>
              <w:rPr>
                <w:b/>
                <w:i/>
              </w:rPr>
              <w:t>27</w:t>
            </w:r>
            <w:r>
              <w:t xml:space="preserve"> octobre </w:t>
            </w:r>
            <w:r>
              <w:rPr>
                <w:b/>
                <w:i/>
              </w:rPr>
              <w:t>2019</w:t>
            </w:r>
            <w:r>
              <w:t xml:space="preserve"> à 01 h 00 du matin, temps universel coordonné, de manière à garantir l’introduction simultanée des changements similaires et durables intervenant dans différents États membres. Il est souhaitable que les États membres se concert</w:t>
            </w:r>
            <w:r>
              <w:t xml:space="preserve">ent afin de prendre les décisions relatives à l’heure légale que chacun d’entre eux appliquera à partir de </w:t>
            </w:r>
            <w:r>
              <w:rPr>
                <w:b/>
                <w:i/>
              </w:rPr>
              <w:t>2019</w:t>
            </w:r>
            <w:r>
              <w:t>.</w:t>
            </w:r>
          </w:p>
        </w:tc>
        <w:tc>
          <w:tcPr>
            <w:tcW w:w="4876" w:type="dxa"/>
          </w:tcPr>
          <w:p w:rsidR="00CD27ED" w:rsidRDefault="00EC3B50">
            <w:pPr>
              <w:pStyle w:val="Normal6"/>
            </w:pPr>
            <w:r>
              <w:lastRenderedPageBreak/>
              <w:t>(7)</w:t>
            </w:r>
            <w:r>
              <w:tab/>
              <w:t>La présente directive devrait s’appliquer à partir du </w:t>
            </w:r>
            <w:r>
              <w:rPr>
                <w:b/>
                <w:i/>
              </w:rPr>
              <w:t>1er</w:t>
            </w:r>
            <w:r>
              <w:t xml:space="preserve"> avril </w:t>
            </w:r>
            <w:r>
              <w:rPr>
                <w:b/>
                <w:i/>
              </w:rPr>
              <w:t>2021</w:t>
            </w:r>
            <w:r>
              <w:t xml:space="preserve">, de sorte que la dernière période de l’heure d’été soumise aux règles </w:t>
            </w:r>
            <w:r>
              <w:t xml:space="preserve">de la directive 2000/84/CE devrait commencer le 31 mars </w:t>
            </w:r>
            <w:r>
              <w:rPr>
                <w:b/>
                <w:i/>
              </w:rPr>
              <w:lastRenderedPageBreak/>
              <w:t>2021</w:t>
            </w:r>
            <w:r>
              <w:t xml:space="preserve"> à 01 h 00 du matin, temps universel coordonné, dans tous les États membres. Les États membres qui, après cette période de l’heure d’été, ont l’intention d’opter pour une heure légale correspondan</w:t>
            </w:r>
            <w:r>
              <w:t>t à l’heure appliquée pendant la saison hivernale conformément à la directive 2000/84/CE devraient modifier leur heure légale le </w:t>
            </w:r>
            <w:r>
              <w:rPr>
                <w:b/>
                <w:i/>
              </w:rPr>
              <w:t>30</w:t>
            </w:r>
            <w:r>
              <w:t xml:space="preserve"> octobre </w:t>
            </w:r>
            <w:r>
              <w:rPr>
                <w:b/>
                <w:i/>
              </w:rPr>
              <w:t>2021</w:t>
            </w:r>
            <w:r>
              <w:t xml:space="preserve"> à 01 h 00 du matin, temps universel coordonné, de manière à garantir l’introduction simultanée des changements </w:t>
            </w:r>
            <w:r>
              <w:t xml:space="preserve">similaires et durables intervenant dans différents États membres. Il est souhaitable que les États membres se concertent afin de prendre les décisions relatives à l’heure légale que chacun d’entre eux appliquera à partir de </w:t>
            </w:r>
            <w:r>
              <w:rPr>
                <w:b/>
                <w:i/>
              </w:rPr>
              <w:t>2021</w:t>
            </w:r>
            <w:r>
              <w:t>.</w:t>
            </w:r>
          </w:p>
        </w:tc>
      </w:tr>
    </w:tbl>
    <w:p w:rsidR="00CD27ED" w:rsidRDefault="00EC3B50">
      <w:pPr>
        <w:pStyle w:val="Olang"/>
      </w:pPr>
      <w:r>
        <w:lastRenderedPageBreak/>
        <w:t xml:space="preserve">Or. </w:t>
      </w:r>
      <w:r>
        <w:rPr>
          <w:rStyle w:val="HideTWBExt"/>
        </w:rPr>
        <w:t>&lt;Original&gt;</w:t>
      </w:r>
      <w:r>
        <w:rPr>
          <w:rStyle w:val="HideTWBInt"/>
        </w:rPr>
        <w:t>{FR}</w:t>
      </w:r>
      <w:r>
        <w:t>fr</w:t>
      </w:r>
      <w:r>
        <w:rPr>
          <w:rStyle w:val="HideTWBExt"/>
        </w:rPr>
        <w:t>&lt;/Ori</w:t>
      </w:r>
      <w:r>
        <w:rPr>
          <w:rStyle w:val="HideTWBExt"/>
        </w:rPr>
        <w:t>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21</w:t>
      </w:r>
      <w:r>
        <w:rPr>
          <w:rStyle w:val="HideTWBExt"/>
        </w:rPr>
        <w:t>&lt;/NumAm&gt;</w:t>
      </w:r>
    </w:p>
    <w:p w:rsidR="00CD27ED" w:rsidRDefault="00EC3B50">
      <w:pPr>
        <w:pStyle w:val="NormalBold"/>
      </w:pPr>
      <w:r>
        <w:rPr>
          <w:rStyle w:val="HideTWBExt"/>
        </w:rPr>
        <w:t>&lt;RepeatBlock-By&gt;&lt;Members&gt;</w:t>
      </w:r>
      <w:r>
        <w:t>Momchil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7</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(7)</w:t>
            </w:r>
            <w:r>
              <w:tab/>
              <w:t xml:space="preserve">La </w:t>
            </w:r>
            <w:r>
              <w:t>présente directive devrait s’appliquer à partir du 1</w:t>
            </w:r>
            <w:r>
              <w:rPr>
                <w:sz w:val="20"/>
                <w:vertAlign w:val="superscript"/>
              </w:rPr>
              <w:t>er</w:t>
            </w:r>
            <w:r>
              <w:t xml:space="preserve"> avril </w:t>
            </w:r>
            <w:r>
              <w:rPr>
                <w:b/>
                <w:i/>
              </w:rPr>
              <w:t>2019</w:t>
            </w:r>
            <w:r>
              <w:t xml:space="preserve">, de sorte que la dernière période de l’heure d’été soumise aux règles de la directive 2000/84/CE devrait commencer le 31 mars </w:t>
            </w:r>
            <w:r>
              <w:rPr>
                <w:b/>
                <w:i/>
              </w:rPr>
              <w:t>2019</w:t>
            </w:r>
            <w:r>
              <w:t xml:space="preserve"> à 01 h 00 du matin, temps universel coordonné, dans tous le</w:t>
            </w:r>
            <w:r>
              <w:t>s États membres. Les États membres qui, après cette période de l’heure d’été, ont l’intention d’opter pour une heure légale correspondant à l’heure appliquée pendant la saison hivernale conformément à la directive 2000/84/CE devraient modifier leur heure l</w:t>
            </w:r>
            <w:r>
              <w:t xml:space="preserve">égale le 27 octobre </w:t>
            </w:r>
            <w:r>
              <w:rPr>
                <w:b/>
                <w:i/>
              </w:rPr>
              <w:t>2019</w:t>
            </w:r>
            <w:r>
              <w:t xml:space="preserve"> à 01 h 00 du matin, temps universel coordonné, de manière à garantir l’introduction simultanée des changements similaires et durables intervenant dans différents États membres. Il est souhaitable que les États membres se concertent</w:t>
            </w:r>
            <w:r>
              <w:t xml:space="preserve"> afin de prendre les </w:t>
            </w:r>
            <w:r>
              <w:lastRenderedPageBreak/>
              <w:t xml:space="preserve">décisions relatives à l’heure légale que chacun d’entre eux appliquera à partir de </w:t>
            </w:r>
            <w:r>
              <w:rPr>
                <w:b/>
                <w:i/>
              </w:rPr>
              <w:t>2019</w:t>
            </w:r>
            <w:r>
              <w:t>.</w:t>
            </w:r>
          </w:p>
        </w:tc>
        <w:tc>
          <w:tcPr>
            <w:tcW w:w="4876" w:type="dxa"/>
          </w:tcPr>
          <w:p w:rsidR="00CD27ED" w:rsidRDefault="00EC3B50">
            <w:pPr>
              <w:pStyle w:val="Normal6"/>
            </w:pPr>
            <w:r>
              <w:lastRenderedPageBreak/>
              <w:t>(7)</w:t>
            </w:r>
            <w:r>
              <w:tab/>
              <w:t>La présente directive devrait s’appliquer à partir du 1</w:t>
            </w:r>
            <w:r>
              <w:rPr>
                <w:sz w:val="20"/>
                <w:vertAlign w:val="superscript"/>
              </w:rPr>
              <w:t>er</w:t>
            </w:r>
            <w:r>
              <w:t> avril </w:t>
            </w:r>
            <w:r>
              <w:rPr>
                <w:b/>
                <w:i/>
              </w:rPr>
              <w:t>2020</w:t>
            </w:r>
            <w:r>
              <w:t xml:space="preserve">, de sorte que la dernière période de l’heure d’été soumise aux règles de </w:t>
            </w:r>
            <w:r>
              <w:t>la directive 2000/84/CE devrait commencer le 31 mars </w:t>
            </w:r>
            <w:r>
              <w:rPr>
                <w:b/>
                <w:i/>
              </w:rPr>
              <w:t>2020</w:t>
            </w:r>
            <w:r>
              <w:t xml:space="preserve"> à 01 h 00 du matin, temps universel coordonné, dans tous les États membres. Les États membres qui, après cette période de l’heure d’été, ont l’intention d’opter pour une heure légale correspondant à</w:t>
            </w:r>
            <w:r>
              <w:t xml:space="preserve"> l’heure appliquée pendant la saison hivernale conformément à la directive 2000/84/CE devraient modifier leur heure légale le 27 octobre </w:t>
            </w:r>
            <w:r>
              <w:rPr>
                <w:b/>
                <w:i/>
              </w:rPr>
              <w:t>2020</w:t>
            </w:r>
            <w:r>
              <w:t xml:space="preserve"> à 01 h 00 du matin, temps universel coordonné, de manière à garantir l’introduction simultanée des changements sim</w:t>
            </w:r>
            <w:r>
              <w:t xml:space="preserve">ilaires et durables intervenant dans différents États membres. Il est souhaitable que les États membres se concertent afin de </w:t>
            </w:r>
            <w:r>
              <w:lastRenderedPageBreak/>
              <w:t xml:space="preserve">prendre les décisions relatives à l’heure légale que chacun d’entre eux appliquera à partir de </w:t>
            </w:r>
            <w:r>
              <w:rPr>
                <w:b/>
                <w:i/>
              </w:rPr>
              <w:t>2020</w:t>
            </w:r>
            <w:r>
              <w:t>.</w:t>
            </w:r>
          </w:p>
        </w:tc>
      </w:tr>
    </w:tbl>
    <w:p w:rsidR="00CD27ED" w:rsidRDefault="00EC3B50">
      <w:pPr>
        <w:pStyle w:val="Olang"/>
      </w:pPr>
      <w:r>
        <w:lastRenderedPageBreak/>
        <w:t xml:space="preserve">Or. </w:t>
      </w:r>
      <w:r>
        <w:rPr>
          <w:rStyle w:val="HideTWBExt"/>
        </w:rPr>
        <w:t>&lt;Original&gt;</w:t>
      </w:r>
      <w:r>
        <w:rPr>
          <w:rStyle w:val="HideTWBInt"/>
        </w:rPr>
        <w:t>{BG}</w:t>
      </w:r>
      <w:r>
        <w:t>bg</w:t>
      </w:r>
      <w:r>
        <w:rPr>
          <w:rStyle w:val="HideTWBExt"/>
        </w:rPr>
        <w:t>&lt;/Origin</w:t>
      </w:r>
      <w:r>
        <w:rPr>
          <w:rStyle w:val="HideTWBExt"/>
        </w:rPr>
        <w:t>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22</w:t>
      </w:r>
      <w:r>
        <w:rPr>
          <w:rStyle w:val="HideTWBExt"/>
        </w:rPr>
        <w:t>&lt;/NumAm&gt;</w:t>
      </w:r>
    </w:p>
    <w:p w:rsidR="00CD27ED" w:rsidRDefault="00EC3B50">
      <w:pPr>
        <w:pStyle w:val="NormalBold"/>
      </w:pPr>
      <w:r>
        <w:rPr>
          <w:rStyle w:val="HideTWBExt"/>
        </w:rPr>
        <w:t>&lt;RepeatBlock-By&gt;&lt;Members&gt;</w:t>
      </w:r>
      <w:r>
        <w:t>Luke Ming Flanagan</w:t>
      </w:r>
      <w:r>
        <w:rPr>
          <w:rStyle w:val="HideTWBExt"/>
        </w:rPr>
        <w:t>&lt;/Members&gt;</w:t>
      </w:r>
    </w:p>
    <w:p w:rsidR="00CD27ED" w:rsidRDefault="00EC3B50">
      <w:r>
        <w:rPr>
          <w:rStyle w:val="HideTWBExt"/>
        </w:rPr>
        <w:t>&lt;AuNomDe&gt;</w:t>
      </w:r>
      <w:r>
        <w:rPr>
          <w:rStyle w:val="HideTWBInt"/>
        </w:rPr>
        <w:t>{GUE/NGL}</w:t>
      </w:r>
      <w:r>
        <w:t>au 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8</w:t>
      </w:r>
      <w:r>
        <w:rPr>
          <w:rStyle w:val="HideTWBExt"/>
        </w:rPr>
        <w:t>&lt;/</w:t>
      </w:r>
      <w:r>
        <w:rPr>
          <w:rStyle w:val="HideTWBExt"/>
        </w:rPr>
        <w: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(8)</w:t>
            </w:r>
            <w:r>
              <w:tab/>
            </w:r>
            <w:r>
              <w:rPr>
                <w:b/>
                <w:i/>
              </w:rPr>
              <w:t>La mise en œuvre de la présente directive devrait faire l’objet d’un suivi. La Commission devrait présenter les résultats de ce suivi dans un rapport au Parlement européen et au Conseil. Ce rapport</w:t>
            </w:r>
            <w:r>
              <w:rPr>
                <w:b/>
                <w:i/>
              </w:rPr>
              <w:t xml:space="preserve"> devrait se fonder sur les informations communiquées par les États membres à la Commission en temps utile pour permettre la remise dudit rapport à l'échéance fixée</w:t>
            </w:r>
            <w:r>
              <w:t>.</w:t>
            </w:r>
          </w:p>
        </w:tc>
        <w:tc>
          <w:tcPr>
            <w:tcW w:w="4876" w:type="dxa"/>
          </w:tcPr>
          <w:p w:rsidR="00CD27ED" w:rsidRDefault="00EC3B50">
            <w:pPr>
              <w:pStyle w:val="Normal6"/>
            </w:pPr>
            <w:r>
              <w:t>(8)</w:t>
            </w:r>
            <w:r>
              <w:tab/>
            </w:r>
            <w:r>
              <w:rPr>
                <w:b/>
                <w:i/>
              </w:rPr>
              <w:t xml:space="preserve">Comme un État membre de l'Union, l'Irlande, a une frontière terrestre avec le </w:t>
            </w:r>
            <w:r>
              <w:rPr>
                <w:b/>
                <w:i/>
              </w:rPr>
              <w:t>Royaume-Uni, la mise en œuvre de la présente directive devrait être reportée jusqu'au retrait complet du Royaume-Uni de l'Union européenne et à la définition des conditions auxquelles les échanges commerciaux se feront entre l'Union européenne et le Royaum</w:t>
            </w:r>
            <w:r>
              <w:rPr>
                <w:b/>
                <w:i/>
              </w:rPr>
              <w:t>e-Uni</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23</w:t>
      </w:r>
      <w:r>
        <w:rPr>
          <w:rStyle w:val="HideTWBExt"/>
        </w:rPr>
        <w:t>&lt;/NumAm&gt;</w:t>
      </w:r>
    </w:p>
    <w:p w:rsidR="00CD27ED" w:rsidRDefault="00EC3B50">
      <w:pPr>
        <w:pStyle w:val="NormalBold"/>
      </w:pPr>
      <w:r>
        <w:rPr>
          <w:rStyle w:val="HideTWBExt"/>
        </w:rPr>
        <w:t>&lt;RepeatBlock-By&gt;&lt;Members&gt;</w:t>
      </w:r>
      <w:r>
        <w:t>Maria Gabriela Zoană</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8</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w:t>
            </w:r>
            <w:r>
              <w:t>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(8)</w:t>
            </w:r>
            <w:r>
              <w:tab/>
              <w:t xml:space="preserve">La mise en œuvre de la présente directive devrait faire l’objet d’un suivi. La Commission devrait présenter les résultats de ce suivi dans un rapport </w:t>
            </w:r>
            <w:r>
              <w:rPr>
                <w:b/>
                <w:i/>
              </w:rPr>
              <w:t>au Parlement européen et au Conseil.</w:t>
            </w:r>
            <w:r>
              <w:t xml:space="preserve"> Ce rapport devrait se fonde</w:t>
            </w:r>
            <w:r>
              <w:t>r sur les informations communiquées par les États membres à la Commission en temps utile pour permettre la remise dudit rapport à l'échéance fixée.</w:t>
            </w:r>
          </w:p>
        </w:tc>
        <w:tc>
          <w:tcPr>
            <w:tcW w:w="4876" w:type="dxa"/>
          </w:tcPr>
          <w:p w:rsidR="00CD27ED" w:rsidRDefault="00EC3B50">
            <w:pPr>
              <w:pStyle w:val="Normal6"/>
            </w:pPr>
            <w:r>
              <w:t>(8)</w:t>
            </w:r>
            <w:r>
              <w:tab/>
              <w:t>La mise en œuvre de la présente directive devrait faire l’objet d’un suivi. La Commission devrait présen</w:t>
            </w:r>
            <w:r>
              <w:t xml:space="preserve">ter </w:t>
            </w:r>
            <w:r>
              <w:rPr>
                <w:b/>
                <w:i/>
              </w:rPr>
              <w:t>au Parlement européen et au Conseil</w:t>
            </w:r>
            <w:r>
              <w:t xml:space="preserve"> les résultats de ce suivi dans un rapport </w:t>
            </w:r>
            <w:r>
              <w:rPr>
                <w:b/>
                <w:i/>
              </w:rPr>
              <w:t>préliminaire un an après son entrée en vigueur et dans un rapport final au plus tard trois ans après sa mise en œuvre. </w:t>
            </w:r>
            <w:r>
              <w:t xml:space="preserve"> Ce rapport devrait se fonder sur les informations comm</w:t>
            </w:r>
            <w:r>
              <w:t xml:space="preserve">uniquées par les États membres à la Commission en temps utile pour permettre la remise dudit rapport à </w:t>
            </w:r>
            <w:r>
              <w:lastRenderedPageBreak/>
              <w:t>l'échéance fixée.</w:t>
            </w:r>
          </w:p>
        </w:tc>
      </w:tr>
    </w:tbl>
    <w:p w:rsidR="00CD27ED" w:rsidRDefault="00EC3B50">
      <w:pPr>
        <w:pStyle w:val="Olang"/>
      </w:pPr>
      <w:r>
        <w:lastRenderedPageBreak/>
        <w:t xml:space="preserve">Or. </w:t>
      </w:r>
      <w:r>
        <w:rPr>
          <w:rStyle w:val="HideTWBExt"/>
        </w:rPr>
        <w:t>&lt;Original&gt;</w:t>
      </w:r>
      <w:r>
        <w:rPr>
          <w:rStyle w:val="HideTWBInt"/>
        </w:rPr>
        <w:t>{RO}</w:t>
      </w:r>
      <w:r>
        <w:t>ro</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24</w:t>
      </w:r>
      <w:r>
        <w:rPr>
          <w:rStyle w:val="HideTWBExt"/>
        </w:rPr>
        <w:t>&lt;/NumAm&gt;</w:t>
      </w:r>
    </w:p>
    <w:p w:rsidR="00CD27ED" w:rsidRDefault="00EC3B50">
      <w:pPr>
        <w:pStyle w:val="NormalBold"/>
      </w:pPr>
      <w:r>
        <w:rPr>
          <w:rStyle w:val="HideTWBExt"/>
        </w:rPr>
        <w:t>&lt;RepeatBlock-By&gt;&lt;Members&gt;</w:t>
      </w:r>
      <w:r>
        <w:t>Momchil Nekov</w:t>
      </w:r>
      <w:r>
        <w:rPr>
          <w:rStyle w:val="HideTWBExt"/>
        </w:rPr>
        <w:t>&lt;/Members&gt;</w:t>
      </w:r>
    </w:p>
    <w:p w:rsidR="00CD27ED" w:rsidRDefault="00EC3B50">
      <w:pPr>
        <w:pStyle w:val="NormalBold"/>
      </w:pPr>
      <w:r>
        <w:rPr>
          <w:rStyle w:val="HideTWBExt"/>
        </w:rPr>
        <w:t>&lt;/</w:t>
      </w:r>
      <w:r>
        <w:rPr>
          <w:rStyle w:val="HideTWBExt"/>
        </w:rPr>
        <w: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10 bis (nouveau)</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CD27ED">
            <w:pPr>
              <w:pStyle w:val="Normal6"/>
            </w:pPr>
          </w:p>
        </w:tc>
        <w:tc>
          <w:tcPr>
            <w:tcW w:w="4876" w:type="dxa"/>
          </w:tcPr>
          <w:p w:rsidR="00CD27ED" w:rsidRDefault="00EC3B50">
            <w:pPr>
              <w:pStyle w:val="Normal6"/>
            </w:pPr>
            <w:r>
              <w:rPr>
                <w:b/>
                <w:i/>
              </w:rPr>
              <w:t>(10 bis)</w:t>
            </w:r>
            <w:r>
              <w:tab/>
            </w:r>
            <w:r>
              <w:rPr>
                <w:b/>
                <w:i/>
              </w:rPr>
              <w:t xml:space="preserve">Afin de garantir le bon fonctionnement des relations commerciales, les </w:t>
            </w:r>
            <w:r>
              <w:rPr>
                <w:b/>
                <w:i/>
              </w:rPr>
              <w:t>gouvernements des États membres peuvent également procéder à des consultations avec les pays qui ne sont pas membres de l'Union, mais appartiennent à l'EEE, avec des pays qui sont candidats ou candidats potentiels à l'adhésion ou avec d'autres pays tiers v</w:t>
            </w:r>
            <w:r>
              <w:rPr>
                <w:b/>
                <w:i/>
              </w:rPr>
              <w:t>oisins d'un État membre de l'Union;</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25</w:t>
      </w:r>
      <w:r>
        <w:rPr>
          <w:rStyle w:val="HideTWBExt"/>
        </w:rPr>
        <w:t>&lt;/NumAm&gt;</w:t>
      </w:r>
    </w:p>
    <w:p w:rsidR="00CD27ED" w:rsidRDefault="00EC3B50">
      <w:pPr>
        <w:pStyle w:val="NormalBold"/>
      </w:pPr>
      <w:r>
        <w:rPr>
          <w:rStyle w:val="HideTWBExt"/>
        </w:rPr>
        <w:t>&lt;RepeatBlock-By&gt;&lt;Members&gt;</w:t>
      </w:r>
      <w:r>
        <w:t>James Nicholson</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Considérant 11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rPr>
                <w:b/>
                <w:i/>
              </w:rPr>
              <w:t>(11)</w:t>
            </w:r>
            <w:r>
              <w:tab/>
            </w:r>
            <w:r>
              <w:rPr>
                <w:b/>
                <w:i/>
              </w:rPr>
              <w:t>Il y a donc lieu d’abroger la directive 2000/84/CE,</w:t>
            </w:r>
          </w:p>
        </w:tc>
        <w:tc>
          <w:tcPr>
            <w:tcW w:w="4876" w:type="dxa"/>
          </w:tcPr>
          <w:p w:rsidR="00CD27ED" w:rsidRDefault="00EC3B50">
            <w:pPr>
              <w:pStyle w:val="Normal6"/>
            </w:pPr>
            <w:r>
              <w:rPr>
                <w:b/>
                <w:i/>
              </w:rPr>
              <w:t>supprimé</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26</w:t>
      </w:r>
      <w:r>
        <w:rPr>
          <w:rStyle w:val="HideTWBExt"/>
        </w:rPr>
        <w:t>&lt;/NumAm&gt;</w:t>
      </w:r>
    </w:p>
    <w:p w:rsidR="00CD27ED" w:rsidRDefault="00EC3B50">
      <w:pPr>
        <w:pStyle w:val="NormalBold"/>
      </w:pPr>
      <w:r>
        <w:rPr>
          <w:rStyle w:val="HideTWBExt"/>
        </w:rPr>
        <w:t>&lt;RepeatBlock-By&gt;&lt;Members&gt;</w:t>
      </w:r>
      <w:r>
        <w:t xml:space="preserve">Annie </w:t>
      </w:r>
      <w:r>
        <w:t>Schreijer-Pierik</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1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lastRenderedPageBreak/>
              <w:t>1.</w:t>
            </w:r>
            <w:r>
              <w:tab/>
              <w:t xml:space="preserve">Les États membres n’appliquent pas de modifications saisonnières à leur </w:t>
            </w:r>
            <w:r>
              <w:t>heure légale ou à leurs heures légales.</w:t>
            </w:r>
          </w:p>
        </w:tc>
        <w:tc>
          <w:tcPr>
            <w:tcW w:w="4876" w:type="dxa"/>
          </w:tcPr>
          <w:p w:rsidR="00CD27ED" w:rsidRDefault="00EC3B50">
            <w:pPr>
              <w:pStyle w:val="Normal6"/>
            </w:pPr>
            <w:r>
              <w:t>1.</w:t>
            </w:r>
            <w:r>
              <w:tab/>
              <w:t xml:space="preserve">Les États membres n’appliquent pas de modifications saisonnières à leur heure légale ou à leurs heures légales. </w:t>
            </w:r>
            <w:r>
              <w:rPr>
                <w:b/>
                <w:i/>
              </w:rPr>
              <w:t>Ils choisissent ensemble soit l'heure légale, soit l'heure d'été pour l'ensemble de l'Union, et ce de</w:t>
            </w:r>
            <w:r>
              <w:rPr>
                <w:b/>
                <w:i/>
              </w:rPr>
              <w:t xml:space="preserve"> manière permanente.</w:t>
            </w:r>
          </w:p>
        </w:tc>
      </w:tr>
    </w:tbl>
    <w:p w:rsidR="00CD27ED" w:rsidRDefault="00EC3B50">
      <w:pPr>
        <w:pStyle w:val="Olang"/>
      </w:pPr>
      <w:r>
        <w:t xml:space="preserve">Or. </w:t>
      </w:r>
      <w:r>
        <w:rPr>
          <w:rStyle w:val="HideTWBExt"/>
        </w:rPr>
        <w:t>&lt;Original&gt;</w:t>
      </w:r>
      <w:r>
        <w:rPr>
          <w:rStyle w:val="HideTWBInt"/>
        </w:rPr>
        <w:t>{NL}</w:t>
      </w:r>
      <w:r>
        <w:t>nl</w:t>
      </w:r>
      <w:r>
        <w:rPr>
          <w:rStyle w:val="HideTWBExt"/>
        </w:rPr>
        <w:t>&lt;/Original&gt;</w:t>
      </w:r>
    </w:p>
    <w:p w:rsidR="00CD27ED" w:rsidRDefault="00EC3B50">
      <w:pPr>
        <w:pStyle w:val="JustificationTitle"/>
      </w:pPr>
      <w:r>
        <w:rPr>
          <w:rStyle w:val="HideTWBExt"/>
        </w:rPr>
        <w:t>&lt;TitreJust&gt;</w:t>
      </w:r>
      <w:r>
        <w:t>Justification</w:t>
      </w:r>
      <w:r>
        <w:rPr>
          <w:rStyle w:val="HideTWBExt"/>
        </w:rPr>
        <w:t>&lt;/TitreJust&gt;</w:t>
      </w:r>
    </w:p>
    <w:p w:rsidR="00CD27ED" w:rsidRDefault="00EC3B50">
      <w:pPr>
        <w:pStyle w:val="Normal12Italic"/>
      </w:pPr>
      <w:r>
        <w:t>Il s'agit d'éviter l'existence de toutes sortes d'heures entre les divers États membres de l'Union. Un choix commun à l'échelon de l'Union serait bénéfique pour le m</w:t>
      </w:r>
      <w:r>
        <w:t>arché unique et pour l'existence quotidienne des citoyens.</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27</w:t>
      </w:r>
      <w:r>
        <w:rPr>
          <w:rStyle w:val="HideTWBExt"/>
        </w:rPr>
        <w:t>&lt;/NumAm&gt;</w:t>
      </w:r>
    </w:p>
    <w:p w:rsidR="00CD27ED" w:rsidRDefault="00EC3B50">
      <w:pPr>
        <w:pStyle w:val="NormalBold"/>
      </w:pPr>
      <w:r>
        <w:rPr>
          <w:rStyle w:val="HideTWBExt"/>
        </w:rPr>
        <w:t>&lt;RepeatBlock-By&gt;&lt;Members&gt;</w:t>
      </w:r>
      <w:r>
        <w:t>Clara Eugenia Aguilera García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1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r>
            <w:r>
              <w:t xml:space="preserve">Nonobstant le paragraphe 1, les États membres peuvent encore appliquer un changement saisonnier à leur heure légale ou à leurs heures légales en </w:t>
            </w:r>
            <w:r>
              <w:rPr>
                <w:b/>
                <w:i/>
              </w:rPr>
              <w:t>2019</w:t>
            </w:r>
            <w:r>
              <w:t>, à condition qu’ils le fassent le 27 octobre 2019 à 01 h 00 du matin, temps universel coordonné. Les États</w:t>
            </w:r>
            <w:r>
              <w:t xml:space="preserve"> membres notifient cette décision conformément à l’article 2.</w:t>
            </w:r>
          </w:p>
        </w:tc>
        <w:tc>
          <w:tcPr>
            <w:tcW w:w="4876" w:type="dxa"/>
          </w:tcPr>
          <w:p w:rsidR="00CD27ED" w:rsidRDefault="00EC3B50">
            <w:pPr>
              <w:pStyle w:val="Normal6"/>
            </w:pPr>
            <w:r>
              <w:t>2.</w:t>
            </w:r>
            <w:r>
              <w:tab/>
              <w:t>Nonobstant le paragraphe 1, les États membres peuvent encore appliquer un changement saisonnier à leur heure légale ou à leurs heures légales en </w:t>
            </w:r>
            <w:r>
              <w:rPr>
                <w:b/>
                <w:i/>
              </w:rPr>
              <w:t>20XX (indiquer l'année correspondant à deux an</w:t>
            </w:r>
            <w:r>
              <w:rPr>
                <w:b/>
                <w:i/>
              </w:rPr>
              <w:t>s après l'entrée en vigueur de la présente directive)</w:t>
            </w:r>
            <w:r>
              <w:t>, à condition qu’ils le fassent le 27 octobre 2019 à 01 h 00 du matin, temps universel coordonné. Les États membres notifient cette décision conformément à l’article 2.</w:t>
            </w:r>
          </w:p>
        </w:tc>
      </w:tr>
    </w:tbl>
    <w:p w:rsidR="00CD27ED" w:rsidRDefault="00EC3B50">
      <w:pPr>
        <w:pStyle w:val="Olang"/>
      </w:pPr>
      <w:r>
        <w:t xml:space="preserve">Or. </w:t>
      </w:r>
      <w:r>
        <w:rPr>
          <w:rStyle w:val="HideTWBExt"/>
        </w:rPr>
        <w:t>&lt;Original&gt;</w:t>
      </w:r>
      <w:r>
        <w:rPr>
          <w:rStyle w:val="HideTWBInt"/>
        </w:rPr>
        <w:t>{ES}</w:t>
      </w:r>
      <w:r>
        <w:t>es</w:t>
      </w:r>
      <w:r>
        <w:rPr>
          <w:rStyle w:val="HideTWBExt"/>
        </w:rPr>
        <w:t>&lt;/Original&gt;</w:t>
      </w:r>
    </w:p>
    <w:p w:rsidR="00CD27ED" w:rsidRDefault="00EC3B50">
      <w:r>
        <w:rPr>
          <w:rStyle w:val="HideTWBExt"/>
        </w:rPr>
        <w:t>&lt;</w:t>
      </w:r>
      <w:r>
        <w:rPr>
          <w:rStyle w:val="HideTWBExt"/>
        </w:rPr>
        <w:t>/Amend&gt;</w:t>
      </w:r>
    </w:p>
    <w:p w:rsidR="00CD27ED" w:rsidRDefault="00EC3B50">
      <w:pPr>
        <w:pStyle w:val="AMNumberTabs"/>
      </w:pPr>
      <w:r>
        <w:rPr>
          <w:rStyle w:val="HideTWBExt"/>
        </w:rPr>
        <w:t>&lt;Amend&gt;</w:t>
      </w:r>
      <w:r>
        <w:t>Amendement</w:t>
      </w:r>
      <w:r>
        <w:tab/>
      </w:r>
      <w:r>
        <w:tab/>
      </w:r>
      <w:r>
        <w:rPr>
          <w:rStyle w:val="HideTWBExt"/>
        </w:rPr>
        <w:t>&lt;NumAm&gt;</w:t>
      </w:r>
      <w:r>
        <w:t>28</w:t>
      </w:r>
      <w:r>
        <w:rPr>
          <w:rStyle w:val="HideTWBExt"/>
        </w:rPr>
        <w:t>&lt;/NumAm&gt;</w:t>
      </w:r>
    </w:p>
    <w:p w:rsidR="00CD27ED" w:rsidRDefault="00EC3B50">
      <w:pPr>
        <w:pStyle w:val="NormalBold"/>
      </w:pPr>
      <w:r>
        <w:rPr>
          <w:rStyle w:val="HideTWBExt"/>
        </w:rPr>
        <w:t>&lt;RepeatBlock-By&gt;&lt;Members&gt;</w:t>
      </w:r>
      <w:r>
        <w:t>Philippe Loiseau, Jacques Colombier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1 – paragraphe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proposé par la </w:t>
            </w:r>
            <w:r>
              <w:t>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t xml:space="preserve">Nonobstant le paragraphe 1, les États membres peuvent encore appliquer un changement saisonnier à leur heure </w:t>
            </w:r>
            <w:r>
              <w:lastRenderedPageBreak/>
              <w:t xml:space="preserve">légale ou à leurs heures légales en 2019, à condition qu’ils le fassent le </w:t>
            </w:r>
            <w:r>
              <w:rPr>
                <w:b/>
                <w:i/>
              </w:rPr>
              <w:t>27</w:t>
            </w:r>
            <w:r>
              <w:t xml:space="preserve"> octobre </w:t>
            </w:r>
            <w:r>
              <w:rPr>
                <w:b/>
                <w:i/>
              </w:rPr>
              <w:t>2019</w:t>
            </w:r>
            <w:r>
              <w:t xml:space="preserve"> à 01 h 00 du matin, temps univ</w:t>
            </w:r>
            <w:r>
              <w:t>ersel coordonné. Les États membres notifient cette décision conformément à l’article 2.</w:t>
            </w:r>
          </w:p>
        </w:tc>
        <w:tc>
          <w:tcPr>
            <w:tcW w:w="4876" w:type="dxa"/>
          </w:tcPr>
          <w:p w:rsidR="00CD27ED" w:rsidRDefault="00EC3B50">
            <w:pPr>
              <w:pStyle w:val="Normal6"/>
            </w:pPr>
            <w:r>
              <w:lastRenderedPageBreak/>
              <w:t>2.</w:t>
            </w:r>
            <w:r>
              <w:tab/>
              <w:t xml:space="preserve">Nonobstant le paragraphe 1, les États membres peuvent encore appliquer un changement saisonnier à leur heure </w:t>
            </w:r>
            <w:r>
              <w:lastRenderedPageBreak/>
              <w:t xml:space="preserve">légale ou à leurs heures légales en 2019 </w:t>
            </w:r>
            <w:r>
              <w:rPr>
                <w:b/>
                <w:i/>
              </w:rPr>
              <w:t>et en 2020</w:t>
            </w:r>
            <w:r>
              <w:t>, à c</w:t>
            </w:r>
            <w:r>
              <w:t>ondition qu’ils le fassent le </w:t>
            </w:r>
            <w:r>
              <w:rPr>
                <w:b/>
                <w:i/>
              </w:rPr>
              <w:t>30</w:t>
            </w:r>
            <w:r>
              <w:t xml:space="preserve"> octobre </w:t>
            </w:r>
            <w:r>
              <w:rPr>
                <w:b/>
                <w:i/>
              </w:rPr>
              <w:t>2021</w:t>
            </w:r>
            <w:r>
              <w:t xml:space="preserve"> à 01 h 00 du matin, temps universel coordonné. Les États membres notifient cette décision conformément à l’article 2.</w:t>
            </w:r>
          </w:p>
        </w:tc>
      </w:tr>
    </w:tbl>
    <w:p w:rsidR="00CD27ED" w:rsidRDefault="00EC3B50">
      <w:pPr>
        <w:pStyle w:val="Olang"/>
      </w:pPr>
      <w:r>
        <w:lastRenderedPageBreak/>
        <w:t xml:space="preserve">Or. </w:t>
      </w:r>
      <w:r>
        <w:rPr>
          <w:rStyle w:val="HideTWBExt"/>
        </w:rPr>
        <w:t>&lt;Original&gt;</w:t>
      </w:r>
      <w:r>
        <w:rPr>
          <w:rStyle w:val="HideTWBInt"/>
        </w:rPr>
        <w:t>{FR}</w:t>
      </w:r>
      <w:r>
        <w:t>fr</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29</w:t>
      </w:r>
      <w:r>
        <w:rPr>
          <w:rStyle w:val="HideTWBExt"/>
        </w:rPr>
        <w:t>&lt;/NumAm&gt;</w:t>
      </w:r>
    </w:p>
    <w:p w:rsidR="00CD27ED" w:rsidRDefault="00EC3B50">
      <w:pPr>
        <w:pStyle w:val="NormalBold"/>
      </w:pPr>
      <w:r>
        <w:rPr>
          <w:rStyle w:val="HideTWBExt"/>
        </w:rPr>
        <w:t>&lt;</w:t>
      </w:r>
      <w:r>
        <w:rPr>
          <w:rStyle w:val="HideTWBExt"/>
        </w:rPr>
        <w:t>RepeatBlock-By&gt;&lt;Members&gt;</w:t>
      </w:r>
      <w:r>
        <w:t>Momchil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1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r>
            <w:r>
              <w:t xml:space="preserve">Nonobstant le paragraphe 1, les États membres peuvent encore appliquer un changement saisonnier à leur heure légale ou à leurs heures légales en </w:t>
            </w:r>
            <w:r>
              <w:rPr>
                <w:b/>
                <w:i/>
              </w:rPr>
              <w:t>2019</w:t>
            </w:r>
            <w:r>
              <w:t xml:space="preserve">, à condition qu’ils le fassent le </w:t>
            </w:r>
            <w:r>
              <w:rPr>
                <w:b/>
                <w:i/>
              </w:rPr>
              <w:t>27</w:t>
            </w:r>
            <w:r>
              <w:t xml:space="preserve"> octobre </w:t>
            </w:r>
            <w:r>
              <w:rPr>
                <w:b/>
                <w:i/>
              </w:rPr>
              <w:t>2019</w:t>
            </w:r>
            <w:r>
              <w:t xml:space="preserve"> à 01 h 00 du matin, temps universel coordonné. Les États</w:t>
            </w:r>
            <w:r>
              <w:t xml:space="preserve"> membres notifient cette décision conformément à l’article 2.</w:t>
            </w:r>
          </w:p>
        </w:tc>
        <w:tc>
          <w:tcPr>
            <w:tcW w:w="4876" w:type="dxa"/>
          </w:tcPr>
          <w:p w:rsidR="00CD27ED" w:rsidRDefault="00EC3B50">
            <w:pPr>
              <w:pStyle w:val="Normal6"/>
            </w:pPr>
            <w:r>
              <w:t>2.</w:t>
            </w:r>
            <w:r>
              <w:tab/>
              <w:t xml:space="preserve">Nonobstant le paragraphe 1, les États membres peuvent encore appliquer un changement saisonnier à leur heure légale ou à leurs heures légales en </w:t>
            </w:r>
            <w:r>
              <w:rPr>
                <w:b/>
                <w:i/>
              </w:rPr>
              <w:t>2020</w:t>
            </w:r>
            <w:r>
              <w:t xml:space="preserve">, à condition qu’ils le fassent le </w:t>
            </w:r>
            <w:r>
              <w:rPr>
                <w:b/>
                <w:i/>
              </w:rPr>
              <w:t>29</w:t>
            </w:r>
            <w:r>
              <w:t xml:space="preserve"> octo</w:t>
            </w:r>
            <w:r>
              <w:t xml:space="preserve">bre </w:t>
            </w:r>
            <w:r>
              <w:rPr>
                <w:b/>
                <w:i/>
              </w:rPr>
              <w:t>2020</w:t>
            </w:r>
            <w:r>
              <w:t xml:space="preserve"> à 01 h 00 du matin, temps universel coordonné. Les États membres notifient cette décision conformément à l’article 2.</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30</w:t>
      </w:r>
      <w:r>
        <w:rPr>
          <w:rStyle w:val="HideTWBExt"/>
        </w:rPr>
        <w:t>&lt;/NumAm&gt;</w:t>
      </w:r>
    </w:p>
    <w:p w:rsidR="00CD27ED" w:rsidRDefault="00EC3B50">
      <w:pPr>
        <w:pStyle w:val="NormalBold"/>
      </w:pPr>
      <w:r>
        <w:rPr>
          <w:rStyle w:val="HideTWBExt"/>
        </w:rPr>
        <w:t>&lt;RepeatBlock-By&gt;&lt;Members&gt;</w:t>
      </w:r>
      <w:r>
        <w:t xml:space="preserve">Luke Ming </w:t>
      </w:r>
      <w:r>
        <w:t>Flanagan</w:t>
      </w:r>
      <w:r>
        <w:rPr>
          <w:rStyle w:val="HideTWBExt"/>
        </w:rPr>
        <w:t>&lt;/Members&gt;</w:t>
      </w:r>
    </w:p>
    <w:p w:rsidR="00CD27ED" w:rsidRDefault="00EC3B50">
      <w:r>
        <w:rPr>
          <w:rStyle w:val="HideTWBExt"/>
        </w:rPr>
        <w:t>&lt;AuNomDe&gt;</w:t>
      </w:r>
      <w:r>
        <w:rPr>
          <w:rStyle w:val="HideTWBInt"/>
        </w:rPr>
        <w:t>{GUE/NGL}</w:t>
      </w:r>
      <w:r>
        <w:t>au 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1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t>Nonobstant le paragraphe 1, les</w:t>
            </w:r>
            <w:r>
              <w:t xml:space="preserve"> États membres peuvent encore appliquer un changement saisonnier à leur heure légale ou à leurs heures légales en </w:t>
            </w:r>
            <w:r>
              <w:rPr>
                <w:b/>
                <w:i/>
              </w:rPr>
              <w:t>2019</w:t>
            </w:r>
            <w:r>
              <w:t xml:space="preserve">, à condition qu’ils le fassent le 27 octobre </w:t>
            </w:r>
            <w:r>
              <w:rPr>
                <w:b/>
                <w:i/>
              </w:rPr>
              <w:t>2019</w:t>
            </w:r>
            <w:r>
              <w:t xml:space="preserve"> à 01 h 00 du matin, temps universel coordonné. Les États membres notifient cette décisi</w:t>
            </w:r>
            <w:r>
              <w:t>on conformément à l’article 2.</w:t>
            </w:r>
          </w:p>
        </w:tc>
        <w:tc>
          <w:tcPr>
            <w:tcW w:w="4876" w:type="dxa"/>
          </w:tcPr>
          <w:p w:rsidR="00CD27ED" w:rsidRDefault="00EC3B50">
            <w:pPr>
              <w:pStyle w:val="Normal6"/>
            </w:pPr>
            <w:r>
              <w:t>2.</w:t>
            </w:r>
            <w:r>
              <w:tab/>
              <w:t>Nonobstant le paragraphe 1, les États membres peuvent encore appliquer un changement saisonnier à leur heure légale ou à leurs heures légales en </w:t>
            </w:r>
            <w:r>
              <w:rPr>
                <w:b/>
                <w:i/>
              </w:rPr>
              <w:t>2025</w:t>
            </w:r>
            <w:r>
              <w:t>, à condition qu’ils le fassent le 27 octobre </w:t>
            </w:r>
            <w:r>
              <w:rPr>
                <w:b/>
                <w:i/>
              </w:rPr>
              <w:t>2025</w:t>
            </w:r>
            <w:r>
              <w:t xml:space="preserve"> à 01 h 00 du matin, te</w:t>
            </w:r>
            <w:r>
              <w:t>mps universel coordonné. Les États membres notifient cette décision conformément à l’article 2.</w:t>
            </w:r>
          </w:p>
        </w:tc>
      </w:tr>
    </w:tbl>
    <w:p w:rsidR="00CD27ED" w:rsidRDefault="00EC3B50">
      <w:pPr>
        <w:pStyle w:val="Olang"/>
      </w:pPr>
      <w:r>
        <w:lastRenderedPageBreak/>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31</w:t>
      </w:r>
      <w:r>
        <w:rPr>
          <w:rStyle w:val="HideTWBExt"/>
        </w:rPr>
        <w:t>&lt;/NumAm&gt;</w:t>
      </w:r>
    </w:p>
    <w:p w:rsidR="00CD27ED" w:rsidRDefault="00EC3B50">
      <w:pPr>
        <w:pStyle w:val="NormalBold"/>
      </w:pPr>
      <w:r>
        <w:rPr>
          <w:rStyle w:val="HideTWBExt"/>
        </w:rPr>
        <w:t>&lt;RepeatBlock-By&gt;&lt;Members&gt;</w:t>
      </w:r>
      <w:r>
        <w:t>Clara Eugenia Aguilera García</w:t>
      </w:r>
      <w:r>
        <w:rPr>
          <w:rStyle w:val="HideTWBExt"/>
        </w:rPr>
        <w:t>&lt;/Members&gt;</w:t>
      </w:r>
    </w:p>
    <w:p w:rsidR="00CD27ED" w:rsidRDefault="00EC3B50">
      <w:pPr>
        <w:pStyle w:val="NormalBold"/>
      </w:pPr>
      <w:r>
        <w:rPr>
          <w:rStyle w:val="HideTWBExt"/>
        </w:rPr>
        <w:t>&lt;/</w:t>
      </w:r>
      <w:r>
        <w:rPr>
          <w:rStyle w:val="HideTWBExt"/>
        </w:rPr>
        <w: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2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1.</w:t>
            </w:r>
            <w:r>
              <w:tab/>
              <w:t>Sans préjudice de l’article 1</w:t>
            </w:r>
            <w:r>
              <w:rPr>
                <w:sz w:val="20"/>
                <w:vertAlign w:val="superscript"/>
              </w:rPr>
              <w:t>er</w:t>
            </w:r>
            <w:r>
              <w:t xml:space="preserve">, si un État membre décide de modifier son heure légale ou ses heures légales dans tout territoire relevant de sa juridiction, il notifie la Commission de sa décision au moins </w:t>
            </w:r>
            <w:r>
              <w:rPr>
                <w:b/>
                <w:i/>
              </w:rPr>
              <w:t>6</w:t>
            </w:r>
            <w:r>
              <w:t xml:space="preserve"> mois avant que la modification ne prenne effet. Lorsqu’un État membre a procéd</w:t>
            </w:r>
            <w:r>
              <w:t xml:space="preserve">é à une telle notification et ne l’a pas retirée au moins </w:t>
            </w:r>
            <w:r>
              <w:rPr>
                <w:b/>
                <w:i/>
              </w:rPr>
              <w:t>6</w:t>
            </w:r>
            <w:r>
              <w:t xml:space="preserve"> mois avant la date de prise d'effet de la modification envisagée, l’État membre applique cette modification.</w:t>
            </w:r>
          </w:p>
        </w:tc>
        <w:tc>
          <w:tcPr>
            <w:tcW w:w="4876" w:type="dxa"/>
          </w:tcPr>
          <w:p w:rsidR="00CD27ED" w:rsidRDefault="00EC3B50">
            <w:pPr>
              <w:pStyle w:val="Normal6"/>
            </w:pPr>
            <w:r>
              <w:t>1.</w:t>
            </w:r>
            <w:r>
              <w:tab/>
              <w:t>Sans préjudice de l’article 1</w:t>
            </w:r>
            <w:r>
              <w:rPr>
                <w:sz w:val="20"/>
                <w:vertAlign w:val="superscript"/>
              </w:rPr>
              <w:t>er</w:t>
            </w:r>
            <w:r>
              <w:t>, si un État membre décide de modifier son heure léga</w:t>
            </w:r>
            <w:r>
              <w:t xml:space="preserve">le ou ses heures légales dans tout territoire relevant de sa juridiction, il notifie la Commission </w:t>
            </w:r>
            <w:r>
              <w:rPr>
                <w:b/>
                <w:i/>
              </w:rPr>
              <w:t>et les autres États membres</w:t>
            </w:r>
            <w:r>
              <w:t xml:space="preserve"> de sa décision au moins </w:t>
            </w:r>
            <w:r>
              <w:rPr>
                <w:b/>
                <w:i/>
              </w:rPr>
              <w:t>18</w:t>
            </w:r>
            <w:r>
              <w:t xml:space="preserve"> mois avant que la modification ne prenne effet. Lorsqu’un État membre a procédé à une telle notificati</w:t>
            </w:r>
            <w:r>
              <w:t xml:space="preserve">on et ne l’a pas retirée au moins </w:t>
            </w:r>
            <w:r>
              <w:rPr>
                <w:b/>
                <w:i/>
              </w:rPr>
              <w:t>18</w:t>
            </w:r>
            <w:r>
              <w:t xml:space="preserve"> mois avant la date de prise d'effet de la modification envisagée, l’État membre applique cette modification.</w:t>
            </w:r>
          </w:p>
        </w:tc>
      </w:tr>
    </w:tbl>
    <w:p w:rsidR="00CD27ED" w:rsidRDefault="00EC3B50">
      <w:pPr>
        <w:pStyle w:val="Olang"/>
      </w:pPr>
      <w:r>
        <w:t xml:space="preserve">Or. </w:t>
      </w:r>
      <w:r>
        <w:rPr>
          <w:rStyle w:val="HideTWBExt"/>
        </w:rPr>
        <w:t>&lt;Original&gt;</w:t>
      </w:r>
      <w:r>
        <w:rPr>
          <w:rStyle w:val="HideTWBInt"/>
        </w:rPr>
        <w:t>{ES}</w:t>
      </w:r>
      <w:r>
        <w:t>es</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32</w:t>
      </w:r>
      <w:r>
        <w:rPr>
          <w:rStyle w:val="HideTWBExt"/>
        </w:rPr>
        <w:t>&lt;/NumAm&gt;</w:t>
      </w:r>
    </w:p>
    <w:p w:rsidR="00CD27ED" w:rsidRDefault="00EC3B50">
      <w:pPr>
        <w:pStyle w:val="NormalBold"/>
      </w:pPr>
      <w:r>
        <w:rPr>
          <w:rStyle w:val="HideTWBExt"/>
        </w:rPr>
        <w:t>&lt;RepeatBlock-By&gt;&lt;Members&gt;</w:t>
      </w:r>
      <w:r>
        <w:t>Ulrike</w:t>
      </w:r>
      <w:r>
        <w:t xml:space="preserve"> Müller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2 – paragraphe 2 bis (nouveau)</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CD27ED">
            <w:pPr>
              <w:pStyle w:val="Normal6"/>
            </w:pPr>
          </w:p>
        </w:tc>
        <w:tc>
          <w:tcPr>
            <w:tcW w:w="4876" w:type="dxa"/>
          </w:tcPr>
          <w:p w:rsidR="00CD27ED" w:rsidRDefault="00EC3B50">
            <w:pPr>
              <w:pStyle w:val="Normal6"/>
            </w:pPr>
            <w:r>
              <w:rPr>
                <w:b/>
                <w:i/>
              </w:rPr>
              <w:t>2 bis</w:t>
            </w:r>
            <w:r>
              <w:tab/>
            </w:r>
            <w:r>
              <w:rPr>
                <w:b/>
                <w:i/>
              </w:rPr>
              <w:t xml:space="preserve">Afin de garantir une mise en œuvre harmonisée de la </w:t>
            </w:r>
            <w:r>
              <w:rPr>
                <w:b/>
                <w:i/>
              </w:rPr>
              <w:t>présente directive, il y a lieu de coordonner les nouvelles dispositions relatives à l’heure en regroupant les États membres selon les trois fuseaux horaires:</w:t>
            </w:r>
            <w:r>
              <w:t xml:space="preserve"> </w:t>
            </w:r>
            <w:r>
              <w:rPr>
                <w:b/>
                <w:i/>
              </w:rPr>
              <w:t>GMT 0, GMT +1 et GMT +2.</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33</w:t>
      </w:r>
      <w:r>
        <w:rPr>
          <w:rStyle w:val="HideTWBExt"/>
        </w:rPr>
        <w:t>&lt;/</w:t>
      </w:r>
      <w:r>
        <w:rPr>
          <w:rStyle w:val="HideTWBExt"/>
        </w:rPr>
        <w:t>NumAm&gt;</w:t>
      </w:r>
    </w:p>
    <w:p w:rsidR="00CD27ED" w:rsidRDefault="00EC3B50">
      <w:pPr>
        <w:pStyle w:val="NormalBold"/>
      </w:pPr>
      <w:r>
        <w:rPr>
          <w:rStyle w:val="HideTWBExt"/>
        </w:rPr>
        <w:t>&lt;RepeatBlock-By&gt;&lt;Members&gt;</w:t>
      </w:r>
      <w:r>
        <w:t>Maria Gabriela Zoană</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lastRenderedPageBreak/>
        <w:t>&lt;DocAmend&gt;</w:t>
      </w:r>
      <w:r>
        <w:t>Proposition de directive</w:t>
      </w:r>
      <w:r>
        <w:rPr>
          <w:rStyle w:val="HideTWBExt"/>
        </w:rPr>
        <w:t>&lt;/DocAmend&gt;</w:t>
      </w:r>
    </w:p>
    <w:p w:rsidR="00CD27ED" w:rsidRDefault="00EC3B50">
      <w:pPr>
        <w:pStyle w:val="NormalBold"/>
      </w:pPr>
      <w:r>
        <w:rPr>
          <w:rStyle w:val="HideTWBExt"/>
        </w:rPr>
        <w:t>&lt;Article&gt;</w:t>
      </w:r>
      <w:r>
        <w:t>Article 3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1.</w:t>
            </w:r>
            <w:r>
              <w:tab/>
              <w:t xml:space="preserve">La Commission </w:t>
            </w:r>
            <w:r>
              <w:rPr>
                <w:b/>
                <w:i/>
              </w:rPr>
              <w:t>fait rapport</w:t>
            </w:r>
            <w:r>
              <w:t xml:space="preserve"> au Parlement européen et au Conseil au plus tard le 31 décembre </w:t>
            </w:r>
            <w:r>
              <w:rPr>
                <w:b/>
                <w:i/>
              </w:rPr>
              <w:t>2024 sur la mise en œuvre de la présente directive</w:t>
            </w:r>
            <w:r>
              <w:t>.</w:t>
            </w:r>
          </w:p>
        </w:tc>
        <w:tc>
          <w:tcPr>
            <w:tcW w:w="4876" w:type="dxa"/>
          </w:tcPr>
          <w:p w:rsidR="00CD27ED" w:rsidRDefault="00EC3B50">
            <w:pPr>
              <w:pStyle w:val="Normal6"/>
            </w:pPr>
            <w:r>
              <w:t>1.</w:t>
            </w:r>
            <w:r>
              <w:tab/>
              <w:t xml:space="preserve">La Commission </w:t>
            </w:r>
            <w:r>
              <w:rPr>
                <w:b/>
                <w:i/>
              </w:rPr>
              <w:t>présente</w:t>
            </w:r>
            <w:r>
              <w:t xml:space="preserve"> au Parlement européen et au Conseil </w:t>
            </w:r>
            <w:r>
              <w:rPr>
                <w:b/>
                <w:i/>
              </w:rPr>
              <w:t>un rapport préliminaire sur la mise en œuvre de la présente directive</w:t>
            </w:r>
            <w:r>
              <w:t xml:space="preserve"> au plus</w:t>
            </w:r>
            <w:r>
              <w:t xml:space="preserve"> tard le 31 décembre </w:t>
            </w:r>
            <w:r>
              <w:rPr>
                <w:b/>
                <w:i/>
              </w:rPr>
              <w:t>2020 et un rapport final au plus tard le 31 décembre 2023</w:t>
            </w:r>
            <w:r>
              <w:t>.</w:t>
            </w:r>
          </w:p>
        </w:tc>
      </w:tr>
    </w:tbl>
    <w:p w:rsidR="00CD27ED" w:rsidRDefault="00EC3B50">
      <w:pPr>
        <w:pStyle w:val="Olang"/>
      </w:pPr>
      <w:r>
        <w:t xml:space="preserve">Or. </w:t>
      </w:r>
      <w:r>
        <w:rPr>
          <w:rStyle w:val="HideTWBExt"/>
        </w:rPr>
        <w:t>&lt;Original&gt;</w:t>
      </w:r>
      <w:r>
        <w:rPr>
          <w:rStyle w:val="HideTWBInt"/>
        </w:rPr>
        <w:t>{RO}</w:t>
      </w:r>
      <w:r>
        <w:t>ro</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34</w:t>
      </w:r>
      <w:r>
        <w:rPr>
          <w:rStyle w:val="HideTWBExt"/>
        </w:rPr>
        <w:t>&lt;/NumAm&gt;</w:t>
      </w:r>
    </w:p>
    <w:p w:rsidR="00CD27ED" w:rsidRDefault="00EC3B50">
      <w:pPr>
        <w:pStyle w:val="NormalBold"/>
      </w:pPr>
      <w:r>
        <w:rPr>
          <w:rStyle w:val="HideTWBExt"/>
        </w:rPr>
        <w:t>&lt;RepeatBlock-By&gt;&lt;Members&gt;</w:t>
      </w:r>
      <w:r>
        <w:t>Momchil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w:t>
      </w:r>
      <w:r>
        <w:t>tive</w:t>
      </w:r>
      <w:r>
        <w:rPr>
          <w:rStyle w:val="HideTWBExt"/>
        </w:rPr>
        <w:t>&lt;/DocAmend&gt;</w:t>
      </w:r>
    </w:p>
    <w:p w:rsidR="00CD27ED" w:rsidRDefault="00EC3B50">
      <w:pPr>
        <w:pStyle w:val="NormalBold"/>
      </w:pPr>
      <w:r>
        <w:rPr>
          <w:rStyle w:val="HideTWBExt"/>
        </w:rPr>
        <w:t>&lt;Article&gt;</w:t>
      </w:r>
      <w:r>
        <w:t>Article 3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1.</w:t>
            </w:r>
            <w:r>
              <w:tab/>
            </w:r>
            <w:r>
              <w:t xml:space="preserve">La Commission fait rapport au Parlement européen et au Conseil au plus tard le 31 décembre </w:t>
            </w:r>
            <w:r>
              <w:rPr>
                <w:b/>
                <w:i/>
              </w:rPr>
              <w:t>2024</w:t>
            </w:r>
            <w:r>
              <w:t xml:space="preserve"> sur la mise en œuvre de la présente directive.</w:t>
            </w:r>
          </w:p>
        </w:tc>
        <w:tc>
          <w:tcPr>
            <w:tcW w:w="4876" w:type="dxa"/>
          </w:tcPr>
          <w:p w:rsidR="00CD27ED" w:rsidRDefault="00EC3B50">
            <w:pPr>
              <w:pStyle w:val="Normal6"/>
            </w:pPr>
            <w:r>
              <w:t>1.</w:t>
            </w:r>
            <w:r>
              <w:tab/>
              <w:t>La Commission fait rapport au Parlement européen et au Conseil au plus tard le 31 décembre </w:t>
            </w:r>
            <w:r>
              <w:rPr>
                <w:b/>
                <w:i/>
              </w:rPr>
              <w:t>2022</w:t>
            </w:r>
            <w:r>
              <w:t xml:space="preserve"> sur la mise en</w:t>
            </w:r>
            <w:r>
              <w:t xml:space="preserve"> œuvre de la présente directive.</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35</w:t>
      </w:r>
      <w:r>
        <w:rPr>
          <w:rStyle w:val="HideTWBExt"/>
        </w:rPr>
        <w:t>&lt;/NumAm&gt;</w:t>
      </w:r>
    </w:p>
    <w:p w:rsidR="00CD27ED" w:rsidRDefault="00EC3B50">
      <w:pPr>
        <w:pStyle w:val="NormalBold"/>
      </w:pPr>
      <w:r>
        <w:rPr>
          <w:rStyle w:val="HideTWBExt"/>
        </w:rPr>
        <w:t>&lt;RepeatBlock-By&gt;&lt;Members&gt;</w:t>
      </w:r>
      <w:r>
        <w:t>Momchil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3 – alinéa 2</w:t>
      </w:r>
      <w:r>
        <w:rPr>
          <w:rStyle w:val="HideTWBExt"/>
        </w:rPr>
        <w:t>&lt;/</w:t>
      </w:r>
      <w:r>
        <w:rPr>
          <w:rStyle w:val="HideTWBExt"/>
        </w:rPr>
        <w: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r>
            <w:r>
              <w:t xml:space="preserve">Les États membres fournissent à la Commission les informations pertinentes au plus tard le 30 avril </w:t>
            </w:r>
            <w:r>
              <w:rPr>
                <w:b/>
                <w:i/>
              </w:rPr>
              <w:t>2024</w:t>
            </w:r>
            <w:r>
              <w:t>.</w:t>
            </w:r>
          </w:p>
        </w:tc>
        <w:tc>
          <w:tcPr>
            <w:tcW w:w="4876" w:type="dxa"/>
          </w:tcPr>
          <w:p w:rsidR="00CD27ED" w:rsidRDefault="00EC3B50">
            <w:pPr>
              <w:pStyle w:val="Normal6"/>
            </w:pPr>
            <w:r>
              <w:t>2.</w:t>
            </w:r>
            <w:r>
              <w:tab/>
              <w:t>Les États membres fournissent à la Commission les informations pertinentes au plus tard le 30 avril </w:t>
            </w:r>
            <w:r>
              <w:rPr>
                <w:b/>
                <w:i/>
              </w:rPr>
              <w:t>2022</w:t>
            </w:r>
            <w:r>
              <w:t>.</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36</w:t>
      </w:r>
      <w:r>
        <w:rPr>
          <w:rStyle w:val="HideTWBExt"/>
        </w:rPr>
        <w:t>&lt;/NumAm&gt;</w:t>
      </w:r>
    </w:p>
    <w:p w:rsidR="00CD27ED" w:rsidRDefault="00EC3B50">
      <w:pPr>
        <w:pStyle w:val="NormalBold"/>
      </w:pPr>
      <w:r>
        <w:rPr>
          <w:rStyle w:val="HideTWBExt"/>
        </w:rPr>
        <w:t>&lt;RepeatBlock-By&gt;&lt;Members&gt;</w:t>
      </w:r>
      <w:r>
        <w:t>Clara Eugenia Aguilera García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lastRenderedPageBreak/>
        <w:t>&lt;DocAmend&gt;</w:t>
      </w:r>
      <w:r>
        <w:t>Proposition de directive</w:t>
      </w:r>
      <w:r>
        <w:rPr>
          <w:rStyle w:val="HideTWBExt"/>
        </w:rPr>
        <w:t>&lt;/DocAmend&gt;</w:t>
      </w:r>
    </w:p>
    <w:p w:rsidR="00CD27ED" w:rsidRDefault="00EC3B50">
      <w:pPr>
        <w:pStyle w:val="NormalBold"/>
      </w:pPr>
      <w:r>
        <w:rPr>
          <w:rStyle w:val="HideTWBExt"/>
        </w:rPr>
        <w:t>&lt;Article&gt;</w:t>
      </w:r>
      <w:r>
        <w:t>Article 3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2.</w:t>
            </w:r>
            <w:r>
              <w:tab/>
              <w:t xml:space="preserve">Les États membres fournissent à la Commission les informations pertinentes au plus tard le 30 avril </w:t>
            </w:r>
            <w:r>
              <w:rPr>
                <w:b/>
                <w:i/>
              </w:rPr>
              <w:t>2024</w:t>
            </w:r>
            <w:r>
              <w:t>.</w:t>
            </w:r>
          </w:p>
        </w:tc>
        <w:tc>
          <w:tcPr>
            <w:tcW w:w="4876" w:type="dxa"/>
          </w:tcPr>
          <w:p w:rsidR="00CD27ED" w:rsidRDefault="00EC3B50">
            <w:pPr>
              <w:pStyle w:val="Normal6"/>
            </w:pPr>
            <w:r>
              <w:t>2.</w:t>
            </w:r>
            <w:r>
              <w:tab/>
              <w:t>Les États membres fournissent à la Commission les informations pertinentes au plus tard le 30 avril </w:t>
            </w:r>
            <w:r>
              <w:rPr>
                <w:b/>
                <w:i/>
              </w:rPr>
              <w:t>20XX</w:t>
            </w:r>
            <w:r>
              <w:t>.</w:t>
            </w:r>
          </w:p>
        </w:tc>
      </w:tr>
    </w:tbl>
    <w:p w:rsidR="00CD27ED" w:rsidRDefault="00EC3B50">
      <w:pPr>
        <w:pStyle w:val="Olang"/>
      </w:pPr>
      <w:r>
        <w:t xml:space="preserve">Or. </w:t>
      </w:r>
      <w:r>
        <w:rPr>
          <w:rStyle w:val="HideTWBExt"/>
        </w:rPr>
        <w:t>&lt;Original&gt;</w:t>
      </w:r>
      <w:r>
        <w:rPr>
          <w:rStyle w:val="HideTWBInt"/>
        </w:rPr>
        <w:t>{ES}</w:t>
      </w:r>
      <w:r>
        <w:t>es</w:t>
      </w:r>
      <w:r>
        <w:rPr>
          <w:rStyle w:val="HideTWBExt"/>
        </w:rPr>
        <w:t>&lt;/</w:t>
      </w:r>
      <w:r>
        <w:rPr>
          <w:rStyle w:val="HideTWBExt"/>
        </w:rPr>
        <w: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37</w:t>
      </w:r>
      <w:r>
        <w:rPr>
          <w:rStyle w:val="HideTWBExt"/>
        </w:rPr>
        <w:t>&lt;/NumAm&gt;</w:t>
      </w:r>
    </w:p>
    <w:p w:rsidR="00CD27ED" w:rsidRDefault="00EC3B50">
      <w:pPr>
        <w:pStyle w:val="NormalBold"/>
      </w:pPr>
      <w:r>
        <w:rPr>
          <w:rStyle w:val="HideTWBExt"/>
        </w:rPr>
        <w:t>&lt;RepeatBlock-By&gt;&lt;Members&gt;</w:t>
      </w:r>
      <w:r>
        <w:t>Philippe Loiseau, Jacques Colombier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proposé par la </w:t>
            </w:r>
            <w:r>
              <w:t>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Les États membres adoptent et publient, au plus tard le 1</w:t>
            </w:r>
            <w:r>
              <w:rPr>
                <w:sz w:val="20"/>
                <w:vertAlign w:val="superscript"/>
              </w:rPr>
              <w:t>er</w:t>
            </w:r>
            <w:r>
              <w:t xml:space="preserve"> avril </w:t>
            </w:r>
            <w:r>
              <w:rPr>
                <w:b/>
                <w:i/>
              </w:rPr>
              <w:t>2019</w:t>
            </w:r>
            <w:r>
              <w:t>, les dispositions législatives, réglementaires et administratives nécessaires pour se conformer à la présente directive. Ils communiquent immédiatement à la Commi</w:t>
            </w:r>
            <w:r>
              <w:t>ssion le texte de ces dispositions.</w:t>
            </w:r>
          </w:p>
        </w:tc>
        <w:tc>
          <w:tcPr>
            <w:tcW w:w="4876" w:type="dxa"/>
          </w:tcPr>
          <w:p w:rsidR="00CD27ED" w:rsidRDefault="00EC3B50">
            <w:pPr>
              <w:pStyle w:val="Normal6"/>
            </w:pPr>
            <w:r>
              <w:t>Les États membres adoptent et publient, au plus tard le 1</w:t>
            </w:r>
            <w:r>
              <w:rPr>
                <w:sz w:val="20"/>
                <w:vertAlign w:val="superscript"/>
              </w:rPr>
              <w:t>er</w:t>
            </w:r>
            <w:r>
              <w:t xml:space="preserve"> avril </w:t>
            </w:r>
            <w:r>
              <w:rPr>
                <w:b/>
                <w:i/>
              </w:rPr>
              <w:t>2020</w:t>
            </w:r>
            <w:r>
              <w:t>, les dispositions législatives, réglementaires et administratives nécessaires pour se conformer à la présente directive. Ils communiquent immédiateme</w:t>
            </w:r>
            <w:r>
              <w:t>nt à la Commission le texte de ces dispositions.</w:t>
            </w:r>
          </w:p>
        </w:tc>
      </w:tr>
    </w:tbl>
    <w:p w:rsidR="00CD27ED" w:rsidRDefault="00EC3B50">
      <w:pPr>
        <w:pStyle w:val="Olang"/>
      </w:pPr>
      <w:r>
        <w:t xml:space="preserve">Or. </w:t>
      </w:r>
      <w:r>
        <w:rPr>
          <w:rStyle w:val="HideTWBExt"/>
        </w:rPr>
        <w:t>&lt;Original&gt;</w:t>
      </w:r>
      <w:r>
        <w:rPr>
          <w:rStyle w:val="HideTWBInt"/>
        </w:rPr>
        <w:t>{FR}</w:t>
      </w:r>
      <w:r>
        <w:t>fr</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38</w:t>
      </w:r>
      <w:r>
        <w:rPr>
          <w:rStyle w:val="HideTWBExt"/>
        </w:rPr>
        <w:t>&lt;/NumAm&gt;</w:t>
      </w:r>
    </w:p>
    <w:p w:rsidR="00CD27ED" w:rsidRDefault="00EC3B50">
      <w:pPr>
        <w:pStyle w:val="NormalBold"/>
      </w:pPr>
      <w:r>
        <w:rPr>
          <w:rStyle w:val="HideTWBExt"/>
        </w:rPr>
        <w:t>&lt;RepeatBlock-By&gt;&lt;Members&gt;</w:t>
      </w:r>
      <w:r>
        <w:t>Momchil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Les États membres adoptent et publient, au plus tard le 1</w:t>
            </w:r>
            <w:r>
              <w:rPr>
                <w:sz w:val="20"/>
                <w:vertAlign w:val="superscript"/>
              </w:rPr>
              <w:t>er</w:t>
            </w:r>
            <w:r>
              <w:t xml:space="preserve"> avril </w:t>
            </w:r>
            <w:r>
              <w:rPr>
                <w:b/>
                <w:i/>
              </w:rPr>
              <w:t>2019</w:t>
            </w:r>
            <w:r>
              <w:t xml:space="preserve">, les dispositions législatives, réglementaires et administratives nécessaires pour se conformer à la </w:t>
            </w:r>
            <w:r>
              <w:t>présente directive. Ils communiquent immédiatement à la Commission le texte de ces dispositions.</w:t>
            </w:r>
          </w:p>
        </w:tc>
        <w:tc>
          <w:tcPr>
            <w:tcW w:w="4876" w:type="dxa"/>
          </w:tcPr>
          <w:p w:rsidR="00CD27ED" w:rsidRDefault="00EC3B50">
            <w:pPr>
              <w:pStyle w:val="Normal6"/>
            </w:pPr>
            <w:r>
              <w:t>Les États membres adoptent et publient, au plus tard le 1</w:t>
            </w:r>
            <w:r>
              <w:rPr>
                <w:sz w:val="20"/>
                <w:vertAlign w:val="superscript"/>
              </w:rPr>
              <w:t>er</w:t>
            </w:r>
            <w:r>
              <w:t xml:space="preserve"> avril </w:t>
            </w:r>
            <w:r>
              <w:rPr>
                <w:b/>
                <w:i/>
              </w:rPr>
              <w:t>2020</w:t>
            </w:r>
            <w:r>
              <w:t>, les dispositions législatives, réglementaires et administratives nécessaires pour se co</w:t>
            </w:r>
            <w:r>
              <w:t>nformer à la présente directive. Ils communiquent immédiatement à la Commission le texte de ces dispositions.</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lastRenderedPageBreak/>
        <w:t>&lt;Amend&gt;</w:t>
      </w:r>
      <w:r>
        <w:t>Amendement</w:t>
      </w:r>
      <w:r>
        <w:tab/>
      </w:r>
      <w:r>
        <w:tab/>
      </w:r>
      <w:r>
        <w:rPr>
          <w:rStyle w:val="HideTWBExt"/>
        </w:rPr>
        <w:t>&lt;NumAm&gt;</w:t>
      </w:r>
      <w:r>
        <w:t>39</w:t>
      </w:r>
      <w:r>
        <w:rPr>
          <w:rStyle w:val="HideTWBExt"/>
        </w:rPr>
        <w:t>&lt;/NumAm&gt;</w:t>
      </w:r>
    </w:p>
    <w:p w:rsidR="00CD27ED" w:rsidRDefault="00EC3B50">
      <w:pPr>
        <w:pStyle w:val="NormalBold"/>
      </w:pPr>
      <w:r>
        <w:rPr>
          <w:rStyle w:val="HideTWBExt"/>
        </w:rPr>
        <w:t>&lt;RepeatBlock-By&gt;&lt;Members&gt;</w:t>
      </w:r>
      <w:r>
        <w:t>Luke Ming Flanagan</w:t>
      </w:r>
      <w:r>
        <w:rPr>
          <w:rStyle w:val="HideTWBExt"/>
        </w:rPr>
        <w:t>&lt;/Members&gt;</w:t>
      </w:r>
    </w:p>
    <w:p w:rsidR="00CD27ED" w:rsidRDefault="00EC3B50">
      <w:r>
        <w:rPr>
          <w:rStyle w:val="HideTWBExt"/>
        </w:rPr>
        <w:t>&lt;</w:t>
      </w:r>
      <w:r>
        <w:rPr>
          <w:rStyle w:val="HideTWBExt"/>
        </w:rPr>
        <w:t>AuNomDe&gt;</w:t>
      </w:r>
      <w:r>
        <w:rPr>
          <w:rStyle w:val="HideTWBInt"/>
        </w:rPr>
        <w:t>{GUE/NGL}</w:t>
      </w:r>
      <w:r>
        <w:t>au 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 xml:space="preserve">Les États membres adoptent et publient, au plus </w:t>
            </w:r>
            <w:r>
              <w:t>tard le 1</w:t>
            </w:r>
            <w:r>
              <w:rPr>
                <w:sz w:val="20"/>
                <w:vertAlign w:val="superscript"/>
              </w:rPr>
              <w:t>er</w:t>
            </w:r>
            <w:r>
              <w:t xml:space="preserve"> avril </w:t>
            </w:r>
            <w:r>
              <w:rPr>
                <w:b/>
                <w:i/>
              </w:rPr>
              <w:t>2019</w:t>
            </w:r>
            <w:r>
              <w:t>, les dispositions législatives, réglementaires et administratives nécessaires pour se conformer à la présente directive. Ils communiquent immédiatement à la Commission le texte de ces dispositions.</w:t>
            </w:r>
          </w:p>
        </w:tc>
        <w:tc>
          <w:tcPr>
            <w:tcW w:w="4876" w:type="dxa"/>
          </w:tcPr>
          <w:p w:rsidR="00CD27ED" w:rsidRDefault="00EC3B50">
            <w:pPr>
              <w:pStyle w:val="Normal6"/>
            </w:pPr>
            <w:r>
              <w:t>Les États membres adoptent et publi</w:t>
            </w:r>
            <w:r>
              <w:t>ent, au plus tard le 1</w:t>
            </w:r>
            <w:r>
              <w:rPr>
                <w:sz w:val="20"/>
                <w:vertAlign w:val="superscript"/>
              </w:rPr>
              <w:t>er</w:t>
            </w:r>
            <w:r>
              <w:t> avril </w:t>
            </w:r>
            <w:r>
              <w:rPr>
                <w:b/>
                <w:i/>
              </w:rPr>
              <w:t>2025</w:t>
            </w:r>
            <w:r>
              <w:t>, les dispositions législatives, réglementaires et administratives nécessaires pour se conformer à la présente directive. Ils communiquent immédiatement à la Commission le texte de ces dispositions.</w:t>
            </w:r>
          </w:p>
        </w:tc>
      </w:tr>
    </w:tbl>
    <w:p w:rsidR="00CD27ED" w:rsidRDefault="00EC3B50">
      <w:pPr>
        <w:pStyle w:val="Olang"/>
      </w:pPr>
      <w:r>
        <w:t xml:space="preserve">Or. </w:t>
      </w:r>
      <w:r>
        <w:rPr>
          <w:rStyle w:val="HideTWBExt"/>
        </w:rPr>
        <w:t>&lt;Original&gt;</w:t>
      </w:r>
      <w:r>
        <w:rPr>
          <w:rStyle w:val="HideTWBInt"/>
        </w:rPr>
        <w:t>{EN}</w:t>
      </w:r>
      <w:r>
        <w:t>en</w:t>
      </w:r>
      <w:r>
        <w:rPr>
          <w:rStyle w:val="HideTWBExt"/>
        </w:rPr>
        <w:t>&lt;</w:t>
      </w:r>
      <w:r>
        <w:rPr>
          <w:rStyle w:val="HideTWBExt"/>
        </w:rPr>
        <w: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40</w:t>
      </w:r>
      <w:r>
        <w:rPr>
          <w:rStyle w:val="HideTWBExt"/>
        </w:rPr>
        <w:t>&lt;/NumAm&gt;</w:t>
      </w:r>
    </w:p>
    <w:p w:rsidR="00CD27ED" w:rsidRDefault="00EC3B50">
      <w:pPr>
        <w:pStyle w:val="NormalBold"/>
      </w:pPr>
      <w:r>
        <w:rPr>
          <w:rStyle w:val="HideTWBExt"/>
        </w:rPr>
        <w:t>&lt;RepeatBlock-By&gt;&lt;Members&gt;</w:t>
      </w:r>
      <w:r>
        <w:t>Clara Eugenia Aguilera García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proposé par la </w:t>
            </w:r>
            <w:r>
              <w:t>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Ils appliquent ces dispositions à partir du 1</w:t>
            </w:r>
            <w:r>
              <w:rPr>
                <w:sz w:val="20"/>
                <w:vertAlign w:val="superscript"/>
              </w:rPr>
              <w:t>er</w:t>
            </w:r>
            <w:r>
              <w:t xml:space="preserve"> </w:t>
            </w:r>
            <w:r>
              <w:rPr>
                <w:b/>
                <w:i/>
              </w:rPr>
              <w:t>avril 2019</w:t>
            </w:r>
            <w:r>
              <w:t>.</w:t>
            </w:r>
          </w:p>
        </w:tc>
        <w:tc>
          <w:tcPr>
            <w:tcW w:w="4876" w:type="dxa"/>
          </w:tcPr>
          <w:p w:rsidR="00CD27ED" w:rsidRDefault="00EC3B50">
            <w:pPr>
              <w:pStyle w:val="Normal6"/>
            </w:pPr>
            <w:r>
              <w:t>Ils appliquent ces dispositions à partir du 1</w:t>
            </w:r>
            <w:r>
              <w:rPr>
                <w:sz w:val="20"/>
                <w:vertAlign w:val="superscript"/>
              </w:rPr>
              <w:t>er</w:t>
            </w:r>
            <w:r>
              <w:t xml:space="preserve"> </w:t>
            </w:r>
            <w:r>
              <w:rPr>
                <w:b/>
                <w:i/>
              </w:rPr>
              <w:t xml:space="preserve">janvier 20XX (indiquer l'année correspondant à deux ans complets après l'entrée en vigueur de la présente </w:t>
            </w:r>
            <w:r>
              <w:rPr>
                <w:b/>
                <w:i/>
              </w:rPr>
              <w:t>directive)</w:t>
            </w:r>
            <w:r>
              <w:t>.</w:t>
            </w:r>
          </w:p>
        </w:tc>
      </w:tr>
    </w:tbl>
    <w:p w:rsidR="00CD27ED" w:rsidRDefault="00EC3B50">
      <w:pPr>
        <w:pStyle w:val="Olang"/>
      </w:pPr>
      <w:r>
        <w:t xml:space="preserve">Or. </w:t>
      </w:r>
      <w:r>
        <w:rPr>
          <w:rStyle w:val="HideTWBExt"/>
        </w:rPr>
        <w:t>&lt;Original&gt;</w:t>
      </w:r>
      <w:r>
        <w:rPr>
          <w:rStyle w:val="HideTWBInt"/>
        </w:rPr>
        <w:t>{ES}</w:t>
      </w:r>
      <w:r>
        <w:t>es</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41</w:t>
      </w:r>
      <w:r>
        <w:rPr>
          <w:rStyle w:val="HideTWBExt"/>
        </w:rPr>
        <w:t>&lt;/NumAm&gt;</w:t>
      </w:r>
    </w:p>
    <w:p w:rsidR="00CD27ED" w:rsidRDefault="00EC3B50">
      <w:pPr>
        <w:pStyle w:val="NormalBold"/>
      </w:pPr>
      <w:r>
        <w:rPr>
          <w:rStyle w:val="HideTWBExt"/>
        </w:rPr>
        <w:t>&lt;RepeatBlock-By&gt;&lt;Members&gt;</w:t>
      </w:r>
      <w:r>
        <w:t>Philippe Loiseau, Jacques Colombier</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2</w:t>
      </w:r>
      <w:r>
        <w:rPr>
          <w:rStyle w:val="HideTWBExt"/>
        </w:rPr>
        <w:t>&lt;</w:t>
      </w:r>
      <w:r>
        <w:rPr>
          <w:rStyle w:val="HideTWBExt"/>
        </w:rPr>
        <w: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Ils appliquent ces dispositions à partir du 1</w:t>
            </w:r>
            <w:r>
              <w:rPr>
                <w:sz w:val="20"/>
                <w:vertAlign w:val="superscript"/>
              </w:rPr>
              <w:t>er</w:t>
            </w:r>
            <w:r>
              <w:t xml:space="preserve"> avril </w:t>
            </w:r>
            <w:r>
              <w:rPr>
                <w:b/>
                <w:i/>
              </w:rPr>
              <w:t>2019</w:t>
            </w:r>
            <w:r>
              <w:t>.</w:t>
            </w:r>
          </w:p>
        </w:tc>
        <w:tc>
          <w:tcPr>
            <w:tcW w:w="4876" w:type="dxa"/>
          </w:tcPr>
          <w:p w:rsidR="00CD27ED" w:rsidRDefault="00EC3B50">
            <w:pPr>
              <w:pStyle w:val="Normal6"/>
            </w:pPr>
            <w:r>
              <w:t>Ils appliquent ces dispositions à partir du 1</w:t>
            </w:r>
            <w:r>
              <w:rPr>
                <w:sz w:val="20"/>
                <w:vertAlign w:val="superscript"/>
              </w:rPr>
              <w:t>er</w:t>
            </w:r>
            <w:r>
              <w:t xml:space="preserve"> avril </w:t>
            </w:r>
            <w:r>
              <w:rPr>
                <w:b/>
                <w:i/>
              </w:rPr>
              <w:t>2021</w:t>
            </w:r>
            <w:r>
              <w:t>.</w:t>
            </w:r>
          </w:p>
        </w:tc>
      </w:tr>
    </w:tbl>
    <w:p w:rsidR="00CD27ED" w:rsidRDefault="00EC3B50">
      <w:pPr>
        <w:pStyle w:val="Olang"/>
      </w:pPr>
      <w:r>
        <w:t xml:space="preserve">Or. </w:t>
      </w:r>
      <w:r>
        <w:rPr>
          <w:rStyle w:val="HideTWBExt"/>
        </w:rPr>
        <w:t>&lt;Original&gt;</w:t>
      </w:r>
      <w:r>
        <w:rPr>
          <w:rStyle w:val="HideTWBInt"/>
        </w:rPr>
        <w:t>{FR}</w:t>
      </w:r>
      <w:r>
        <w:t>fr</w:t>
      </w:r>
      <w:r>
        <w:rPr>
          <w:rStyle w:val="HideTWBExt"/>
        </w:rPr>
        <w:t>&lt;/Original&gt;</w:t>
      </w:r>
    </w:p>
    <w:p w:rsidR="00CD27ED" w:rsidRDefault="00EC3B50">
      <w:r>
        <w:rPr>
          <w:rStyle w:val="HideTWBExt"/>
        </w:rPr>
        <w:lastRenderedPageBreak/>
        <w:t>&lt;/Amend&gt;</w:t>
      </w:r>
    </w:p>
    <w:p w:rsidR="00CD27ED" w:rsidRDefault="00EC3B50">
      <w:pPr>
        <w:pStyle w:val="AMNumberTabs"/>
      </w:pPr>
      <w:r>
        <w:rPr>
          <w:rStyle w:val="HideTWBExt"/>
        </w:rPr>
        <w:t>&lt;Amend&gt;</w:t>
      </w:r>
      <w:r>
        <w:t>Amendement</w:t>
      </w:r>
      <w:r>
        <w:tab/>
      </w:r>
      <w:r>
        <w:tab/>
      </w:r>
      <w:r>
        <w:rPr>
          <w:rStyle w:val="HideTWBExt"/>
        </w:rPr>
        <w:t>&lt;NumAm&gt;</w:t>
      </w:r>
      <w:r>
        <w:t>42</w:t>
      </w:r>
      <w:r>
        <w:rPr>
          <w:rStyle w:val="HideTWBExt"/>
        </w:rPr>
        <w:t>&lt;/</w:t>
      </w:r>
      <w:r>
        <w:rPr>
          <w:rStyle w:val="HideTWBExt"/>
        </w:rPr>
        <w:t>NumAm&gt;</w:t>
      </w:r>
    </w:p>
    <w:p w:rsidR="00CD27ED" w:rsidRDefault="00EC3B50">
      <w:pPr>
        <w:pStyle w:val="NormalBold"/>
      </w:pPr>
      <w:r>
        <w:rPr>
          <w:rStyle w:val="HideTWBExt"/>
        </w:rPr>
        <w:t>&lt;RepeatBlock-By&gt;&lt;Members&gt;</w:t>
      </w:r>
      <w:r>
        <w:t>Luke Ming Flanagan</w:t>
      </w:r>
      <w:r>
        <w:rPr>
          <w:rStyle w:val="HideTWBExt"/>
        </w:rPr>
        <w:t>&lt;/Members&gt;</w:t>
      </w:r>
    </w:p>
    <w:p w:rsidR="00CD27ED" w:rsidRDefault="00EC3B50">
      <w:r>
        <w:rPr>
          <w:rStyle w:val="HideTWBExt"/>
        </w:rPr>
        <w:t>&lt;AuNomDe&gt;</w:t>
      </w:r>
      <w:r>
        <w:rPr>
          <w:rStyle w:val="HideTWBInt"/>
        </w:rPr>
        <w:t>{GUE/NGL}</w:t>
      </w:r>
      <w:r>
        <w:t>au 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 xml:space="preserve">Texte proposé par la </w:t>
            </w:r>
            <w:r>
              <w:t>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Ils appliquent ces dispositions à partir du 1</w:t>
            </w:r>
            <w:r>
              <w:rPr>
                <w:sz w:val="20"/>
                <w:vertAlign w:val="superscript"/>
              </w:rPr>
              <w:t>er</w:t>
            </w:r>
            <w:r>
              <w:t xml:space="preserve"> avril </w:t>
            </w:r>
            <w:r>
              <w:rPr>
                <w:b/>
                <w:i/>
              </w:rPr>
              <w:t>2019</w:t>
            </w:r>
            <w:r>
              <w:t>.</w:t>
            </w:r>
          </w:p>
        </w:tc>
        <w:tc>
          <w:tcPr>
            <w:tcW w:w="4876" w:type="dxa"/>
          </w:tcPr>
          <w:p w:rsidR="00CD27ED" w:rsidRDefault="00EC3B50">
            <w:pPr>
              <w:pStyle w:val="Normal6"/>
            </w:pPr>
            <w:r>
              <w:t>Ils appliquent ces dispositions à partir du 1</w:t>
            </w:r>
            <w:r>
              <w:rPr>
                <w:sz w:val="20"/>
                <w:vertAlign w:val="superscript"/>
              </w:rPr>
              <w:t>er</w:t>
            </w:r>
            <w:r>
              <w:t> avril </w:t>
            </w:r>
            <w:r>
              <w:rPr>
                <w:b/>
                <w:i/>
              </w:rPr>
              <w:t>2025</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43</w:t>
      </w:r>
      <w:r>
        <w:rPr>
          <w:rStyle w:val="HideTWBExt"/>
        </w:rPr>
        <w:t>&lt;/NumAm&gt;</w:t>
      </w:r>
    </w:p>
    <w:p w:rsidR="00CD27ED" w:rsidRDefault="00EC3B50">
      <w:pPr>
        <w:pStyle w:val="NormalBold"/>
      </w:pPr>
      <w:r>
        <w:rPr>
          <w:rStyle w:val="HideTWBExt"/>
        </w:rPr>
        <w:t>&lt;RepeatBlock-By&gt;&lt;Members&gt;</w:t>
      </w:r>
      <w:r>
        <w:t>Momchil N</w:t>
      </w:r>
      <w:r>
        <w:t>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4 – alinéa 2</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Ils appliquent ces dispositions à partir du 1</w:t>
            </w:r>
            <w:r>
              <w:rPr>
                <w:sz w:val="20"/>
                <w:vertAlign w:val="superscript"/>
              </w:rPr>
              <w:t>er</w:t>
            </w:r>
            <w:r>
              <w:t xml:space="preserve"> avril </w:t>
            </w:r>
            <w:r>
              <w:rPr>
                <w:b/>
                <w:i/>
              </w:rPr>
              <w:t>2019</w:t>
            </w:r>
            <w:r>
              <w:t>.</w:t>
            </w:r>
          </w:p>
        </w:tc>
        <w:tc>
          <w:tcPr>
            <w:tcW w:w="4876" w:type="dxa"/>
          </w:tcPr>
          <w:p w:rsidR="00CD27ED" w:rsidRDefault="00EC3B50">
            <w:pPr>
              <w:pStyle w:val="Normal6"/>
            </w:pPr>
            <w:r>
              <w:t xml:space="preserve">Ils appliquent ces </w:t>
            </w:r>
            <w:r>
              <w:t>dispositions à partir du 1</w:t>
            </w:r>
            <w:r>
              <w:rPr>
                <w:sz w:val="20"/>
                <w:vertAlign w:val="superscript"/>
              </w:rPr>
              <w:t>er</w:t>
            </w:r>
            <w:r>
              <w:t> avril </w:t>
            </w:r>
            <w:r>
              <w:rPr>
                <w:b/>
                <w:i/>
              </w:rPr>
              <w:t>2020</w:t>
            </w:r>
            <w:r>
              <w:t>.</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44</w:t>
      </w:r>
      <w:r>
        <w:rPr>
          <w:rStyle w:val="HideTWBExt"/>
        </w:rPr>
        <w:t>&lt;/NumAm&gt;</w:t>
      </w:r>
    </w:p>
    <w:p w:rsidR="00CD27ED" w:rsidRDefault="00EC3B50">
      <w:pPr>
        <w:pStyle w:val="NormalBold"/>
      </w:pPr>
      <w:r>
        <w:rPr>
          <w:rStyle w:val="HideTWBExt"/>
        </w:rPr>
        <w:t>&lt;RepeatBlock-By&gt;&lt;Members&gt;</w:t>
      </w:r>
      <w:r>
        <w:t>Clara Eugenia Aguilera García</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w:t>
      </w:r>
      <w:r>
        <w:rPr>
          <w:rStyle w:val="HideTWBExt"/>
        </w:rPr>
        <w:t>Article&gt;</w:t>
      </w:r>
      <w:r>
        <w:t>Article 5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La directive 2000/84/CE est abrogée avec effet au 1</w:t>
            </w:r>
            <w:r>
              <w:rPr>
                <w:sz w:val="20"/>
                <w:vertAlign w:val="superscript"/>
              </w:rPr>
              <w:t>er</w:t>
            </w:r>
            <w:r>
              <w:t xml:space="preserve"> </w:t>
            </w:r>
            <w:r>
              <w:rPr>
                <w:b/>
                <w:i/>
              </w:rPr>
              <w:t>avril 2019</w:t>
            </w:r>
            <w:r>
              <w:t>.</w:t>
            </w:r>
          </w:p>
        </w:tc>
        <w:tc>
          <w:tcPr>
            <w:tcW w:w="4876" w:type="dxa"/>
          </w:tcPr>
          <w:p w:rsidR="00CD27ED" w:rsidRDefault="00EC3B50">
            <w:pPr>
              <w:pStyle w:val="Normal6"/>
            </w:pPr>
            <w:r>
              <w:t>La directive 2000/84/CE est abrogée avec effet au 1</w:t>
            </w:r>
            <w:r>
              <w:rPr>
                <w:sz w:val="20"/>
                <w:vertAlign w:val="superscript"/>
              </w:rPr>
              <w:t>er</w:t>
            </w:r>
            <w:r>
              <w:t xml:space="preserve"> </w:t>
            </w:r>
            <w:r>
              <w:rPr>
                <w:b/>
                <w:i/>
              </w:rPr>
              <w:t>janvier 20XX (indiquer l'année correspondant à deux</w:t>
            </w:r>
            <w:r>
              <w:rPr>
                <w:b/>
                <w:i/>
              </w:rPr>
              <w:t xml:space="preserve"> ans complets après l'entrée en vigueur de la présente directive)</w:t>
            </w:r>
            <w:r>
              <w:t>.</w:t>
            </w:r>
          </w:p>
        </w:tc>
      </w:tr>
    </w:tbl>
    <w:p w:rsidR="00CD27ED" w:rsidRDefault="00EC3B50">
      <w:pPr>
        <w:pStyle w:val="Olang"/>
      </w:pPr>
      <w:r>
        <w:t xml:space="preserve">Or. </w:t>
      </w:r>
      <w:r>
        <w:rPr>
          <w:rStyle w:val="HideTWBExt"/>
        </w:rPr>
        <w:t>&lt;Original&gt;</w:t>
      </w:r>
      <w:r>
        <w:rPr>
          <w:rStyle w:val="HideTWBInt"/>
        </w:rPr>
        <w:t>{ES}</w:t>
      </w:r>
      <w:r>
        <w:t>es</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45</w:t>
      </w:r>
      <w:r>
        <w:rPr>
          <w:rStyle w:val="HideTWBExt"/>
        </w:rPr>
        <w:t>&lt;/NumAm&gt;</w:t>
      </w:r>
    </w:p>
    <w:p w:rsidR="00CD27ED" w:rsidRDefault="00EC3B50">
      <w:pPr>
        <w:pStyle w:val="NormalBold"/>
      </w:pPr>
      <w:r>
        <w:rPr>
          <w:rStyle w:val="HideTWBExt"/>
        </w:rPr>
        <w:t>&lt;RepeatBlock-By&gt;&lt;Members&gt;</w:t>
      </w:r>
      <w:r>
        <w:t>Philippe Loiseau, Jacques Colombier</w:t>
      </w:r>
      <w:r>
        <w:rPr>
          <w:rStyle w:val="HideTWBExt"/>
        </w:rPr>
        <w:t>&lt;/Members&gt;</w:t>
      </w:r>
    </w:p>
    <w:p w:rsidR="00CD27ED" w:rsidRDefault="00EC3B50">
      <w:pPr>
        <w:pStyle w:val="NormalBold"/>
      </w:pPr>
      <w:r>
        <w:rPr>
          <w:rStyle w:val="HideTWBExt"/>
        </w:rPr>
        <w:lastRenderedPageBreak/>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5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La directive 2000/84/CE est abrogée avec effet au 1</w:t>
            </w:r>
            <w:r>
              <w:rPr>
                <w:sz w:val="20"/>
                <w:vertAlign w:val="superscript"/>
              </w:rPr>
              <w:t>er</w:t>
            </w:r>
            <w:r>
              <w:t xml:space="preserve"> avril </w:t>
            </w:r>
            <w:r>
              <w:rPr>
                <w:b/>
                <w:i/>
              </w:rPr>
              <w:t>2019</w:t>
            </w:r>
            <w:r>
              <w:t>.</w:t>
            </w:r>
          </w:p>
        </w:tc>
        <w:tc>
          <w:tcPr>
            <w:tcW w:w="4876" w:type="dxa"/>
          </w:tcPr>
          <w:p w:rsidR="00CD27ED" w:rsidRDefault="00EC3B50">
            <w:pPr>
              <w:pStyle w:val="Normal6"/>
            </w:pPr>
            <w:r>
              <w:t>La directive 2000/84/CE est abrogée avec effet au 1</w:t>
            </w:r>
            <w:r>
              <w:rPr>
                <w:sz w:val="20"/>
                <w:vertAlign w:val="superscript"/>
              </w:rPr>
              <w:t>er</w:t>
            </w:r>
            <w:r>
              <w:t xml:space="preserve"> avril </w:t>
            </w:r>
            <w:r>
              <w:rPr>
                <w:b/>
                <w:i/>
              </w:rPr>
              <w:t>2021</w:t>
            </w:r>
            <w:r>
              <w:t>.</w:t>
            </w:r>
          </w:p>
        </w:tc>
      </w:tr>
    </w:tbl>
    <w:p w:rsidR="00CD27ED" w:rsidRDefault="00EC3B50">
      <w:pPr>
        <w:pStyle w:val="Olang"/>
      </w:pPr>
      <w:r>
        <w:t xml:space="preserve">Or. </w:t>
      </w:r>
      <w:r>
        <w:rPr>
          <w:rStyle w:val="HideTWBExt"/>
        </w:rPr>
        <w:t>&lt;Original&gt;</w:t>
      </w:r>
      <w:r>
        <w:rPr>
          <w:rStyle w:val="HideTWBInt"/>
        </w:rPr>
        <w:t>{FR}</w:t>
      </w:r>
      <w:r>
        <w:t>fr</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46</w:t>
      </w:r>
      <w:r>
        <w:rPr>
          <w:rStyle w:val="HideTWBExt"/>
        </w:rPr>
        <w:t>&lt;/NumAm&gt;</w:t>
      </w:r>
    </w:p>
    <w:p w:rsidR="00CD27ED" w:rsidRDefault="00EC3B50">
      <w:pPr>
        <w:pStyle w:val="NormalBold"/>
      </w:pPr>
      <w:r>
        <w:rPr>
          <w:rStyle w:val="HideTWBExt"/>
        </w:rPr>
        <w:t>&lt;RepeatBlock-By&gt;&lt;Members&gt;</w:t>
      </w:r>
      <w:r>
        <w:t>Momchil Nekov</w:t>
      </w:r>
      <w:r>
        <w:rPr>
          <w:rStyle w:val="HideTWBExt"/>
        </w:rPr>
        <w:t>&lt;/Members&gt;</w:t>
      </w:r>
    </w:p>
    <w:p w:rsidR="00CD27ED" w:rsidRDefault="00EC3B50">
      <w:pPr>
        <w:pStyle w:val="NormalBold"/>
      </w:pPr>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5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w:t>
            </w:r>
            <w:r>
              <w:t>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La directive 2000/84/CE est abrogée avec effet au 1</w:t>
            </w:r>
            <w:r>
              <w:rPr>
                <w:sz w:val="20"/>
                <w:vertAlign w:val="superscript"/>
              </w:rPr>
              <w:t>er</w:t>
            </w:r>
            <w:r>
              <w:t xml:space="preserve"> avril </w:t>
            </w:r>
            <w:r>
              <w:rPr>
                <w:b/>
                <w:i/>
              </w:rPr>
              <w:t>2019</w:t>
            </w:r>
            <w:r>
              <w:t>.</w:t>
            </w:r>
          </w:p>
        </w:tc>
        <w:tc>
          <w:tcPr>
            <w:tcW w:w="4876" w:type="dxa"/>
          </w:tcPr>
          <w:p w:rsidR="00CD27ED" w:rsidRDefault="00EC3B50">
            <w:pPr>
              <w:pStyle w:val="Normal6"/>
            </w:pPr>
            <w:r>
              <w:t>La directive 2000/84/CE est abrogée avec effet au 1</w:t>
            </w:r>
            <w:r>
              <w:rPr>
                <w:sz w:val="20"/>
                <w:vertAlign w:val="superscript"/>
              </w:rPr>
              <w:t>er</w:t>
            </w:r>
            <w:r>
              <w:t> avril </w:t>
            </w:r>
            <w:r>
              <w:rPr>
                <w:b/>
                <w:i/>
              </w:rPr>
              <w:t>2020</w:t>
            </w:r>
            <w:r>
              <w:t>.</w:t>
            </w:r>
          </w:p>
        </w:tc>
      </w:tr>
    </w:tbl>
    <w:p w:rsidR="00CD27ED" w:rsidRDefault="00EC3B50">
      <w:pPr>
        <w:pStyle w:val="Olang"/>
      </w:pPr>
      <w:r>
        <w:t xml:space="preserve">Or. </w:t>
      </w:r>
      <w:r>
        <w:rPr>
          <w:rStyle w:val="HideTWBExt"/>
        </w:rPr>
        <w:t>&lt;Original&gt;</w:t>
      </w:r>
      <w:r>
        <w:rPr>
          <w:rStyle w:val="HideTWBInt"/>
        </w:rPr>
        <w:t>{BG}</w:t>
      </w:r>
      <w:r>
        <w:t>bg</w:t>
      </w:r>
      <w:r>
        <w:rPr>
          <w:rStyle w:val="HideTWBExt"/>
        </w:rPr>
        <w:t>&lt;/Original&gt;</w:t>
      </w:r>
    </w:p>
    <w:p w:rsidR="00CD27ED" w:rsidRDefault="00EC3B50">
      <w:r>
        <w:rPr>
          <w:rStyle w:val="HideTWBExt"/>
        </w:rPr>
        <w:t>&lt;/Amend&gt;</w:t>
      </w:r>
    </w:p>
    <w:p w:rsidR="00CD27ED" w:rsidRDefault="00EC3B50">
      <w:pPr>
        <w:pStyle w:val="AMNumberTabs"/>
      </w:pPr>
      <w:r>
        <w:rPr>
          <w:rStyle w:val="HideTWBExt"/>
        </w:rPr>
        <w:t>&lt;Amend&gt;</w:t>
      </w:r>
      <w:r>
        <w:t>Amendement</w:t>
      </w:r>
      <w:r>
        <w:tab/>
      </w:r>
      <w:r>
        <w:tab/>
      </w:r>
      <w:r>
        <w:rPr>
          <w:rStyle w:val="HideTWBExt"/>
        </w:rPr>
        <w:t>&lt;NumAm&gt;</w:t>
      </w:r>
      <w:r>
        <w:t>47</w:t>
      </w:r>
      <w:r>
        <w:rPr>
          <w:rStyle w:val="HideTWBExt"/>
        </w:rPr>
        <w:t>&lt;/NumAm&gt;</w:t>
      </w:r>
    </w:p>
    <w:p w:rsidR="00CD27ED" w:rsidRDefault="00EC3B50">
      <w:pPr>
        <w:pStyle w:val="NormalBold"/>
      </w:pPr>
      <w:r>
        <w:rPr>
          <w:rStyle w:val="HideTWBExt"/>
        </w:rPr>
        <w:t>&lt;</w:t>
      </w:r>
      <w:r>
        <w:rPr>
          <w:rStyle w:val="HideTWBExt"/>
        </w:rPr>
        <w:t>RepeatBlock-By&gt;&lt;Members&gt;</w:t>
      </w:r>
      <w:r>
        <w:t>Luke Ming Flanagan</w:t>
      </w:r>
      <w:r>
        <w:rPr>
          <w:rStyle w:val="HideTWBExt"/>
        </w:rPr>
        <w:t>&lt;/Members&gt;</w:t>
      </w:r>
    </w:p>
    <w:p w:rsidR="00CD27ED" w:rsidRDefault="00EC3B50">
      <w:r>
        <w:rPr>
          <w:rStyle w:val="HideTWBExt"/>
        </w:rPr>
        <w:t>&lt;AuNomDe&gt;</w:t>
      </w:r>
      <w:r>
        <w:rPr>
          <w:rStyle w:val="HideTWBInt"/>
        </w:rPr>
        <w:t>{GUE/NGL}</w:t>
      </w:r>
      <w:r>
        <w:t>au nom du groupe GUE/NGL</w:t>
      </w:r>
      <w:r>
        <w:rPr>
          <w:rStyle w:val="HideTWBExt"/>
        </w:rPr>
        <w:t>&lt;/AuNomDe&gt;</w:t>
      </w:r>
    </w:p>
    <w:p w:rsidR="00CD27ED" w:rsidRDefault="00EC3B50">
      <w:r>
        <w:rPr>
          <w:rStyle w:val="HideTWBExt"/>
        </w:rPr>
        <w:t>&lt;/RepeatBlock-By&gt;</w:t>
      </w:r>
    </w:p>
    <w:p w:rsidR="00CD27ED" w:rsidRDefault="00EC3B50">
      <w:pPr>
        <w:pStyle w:val="NormalBold"/>
      </w:pPr>
      <w:r>
        <w:rPr>
          <w:rStyle w:val="HideTWBExt"/>
        </w:rPr>
        <w:t>&lt;DocAmend&gt;</w:t>
      </w:r>
      <w:r>
        <w:t>Proposition de directive</w:t>
      </w:r>
      <w:r>
        <w:rPr>
          <w:rStyle w:val="HideTWBExt"/>
        </w:rPr>
        <w:t>&lt;/DocAmend&gt;</w:t>
      </w:r>
    </w:p>
    <w:p w:rsidR="00CD27ED" w:rsidRDefault="00EC3B50">
      <w:pPr>
        <w:pStyle w:val="NormalBold"/>
      </w:pPr>
      <w:r>
        <w:rPr>
          <w:rStyle w:val="HideTWBExt"/>
        </w:rPr>
        <w:t>&lt;Article&gt;</w:t>
      </w:r>
      <w:r>
        <w:t>Article 5 – alinéa 1</w:t>
      </w:r>
      <w:r>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ED">
        <w:trPr>
          <w:trHeight w:hRule="exact" w:val="240"/>
          <w:jc w:val="center"/>
        </w:trPr>
        <w:tc>
          <w:tcPr>
            <w:tcW w:w="9752" w:type="dxa"/>
            <w:gridSpan w:val="2"/>
          </w:tcPr>
          <w:p w:rsidR="00CD27ED" w:rsidRDefault="00CD27ED"/>
        </w:tc>
      </w:tr>
      <w:tr w:rsidR="00CD27ED">
        <w:trPr>
          <w:trHeight w:val="240"/>
          <w:jc w:val="center"/>
        </w:trPr>
        <w:tc>
          <w:tcPr>
            <w:tcW w:w="4876" w:type="dxa"/>
          </w:tcPr>
          <w:p w:rsidR="00CD27ED" w:rsidRDefault="00EC3B50">
            <w:pPr>
              <w:pStyle w:val="ColumnHeading"/>
            </w:pPr>
            <w:r>
              <w:t>Texte proposé par la Commission</w:t>
            </w:r>
          </w:p>
        </w:tc>
        <w:tc>
          <w:tcPr>
            <w:tcW w:w="4876" w:type="dxa"/>
          </w:tcPr>
          <w:p w:rsidR="00CD27ED" w:rsidRDefault="00EC3B50">
            <w:pPr>
              <w:pStyle w:val="ColumnHeading"/>
            </w:pPr>
            <w:r>
              <w:t>Amendement</w:t>
            </w:r>
          </w:p>
        </w:tc>
      </w:tr>
      <w:tr w:rsidR="00CD27ED">
        <w:trPr>
          <w:jc w:val="center"/>
        </w:trPr>
        <w:tc>
          <w:tcPr>
            <w:tcW w:w="4876" w:type="dxa"/>
          </w:tcPr>
          <w:p w:rsidR="00CD27ED" w:rsidRDefault="00EC3B50">
            <w:pPr>
              <w:pStyle w:val="Normal6"/>
            </w:pPr>
            <w:r>
              <w:t>La directive 2000/84/CE est abrogée avec effet au 1</w:t>
            </w:r>
            <w:r>
              <w:rPr>
                <w:sz w:val="20"/>
                <w:vertAlign w:val="superscript"/>
              </w:rPr>
              <w:t>er</w:t>
            </w:r>
            <w:r>
              <w:t xml:space="preserve"> avril </w:t>
            </w:r>
            <w:r>
              <w:rPr>
                <w:b/>
                <w:i/>
              </w:rPr>
              <w:t>2019</w:t>
            </w:r>
            <w:r>
              <w:t>.</w:t>
            </w:r>
          </w:p>
        </w:tc>
        <w:tc>
          <w:tcPr>
            <w:tcW w:w="4876" w:type="dxa"/>
          </w:tcPr>
          <w:p w:rsidR="00CD27ED" w:rsidRDefault="00EC3B50">
            <w:pPr>
              <w:pStyle w:val="Normal6"/>
            </w:pPr>
            <w:r>
              <w:t>La directive 2000/84/CE est abrogée avec effet au 1</w:t>
            </w:r>
            <w:r>
              <w:rPr>
                <w:sz w:val="20"/>
                <w:vertAlign w:val="superscript"/>
              </w:rPr>
              <w:t>er</w:t>
            </w:r>
            <w:r>
              <w:t> avril </w:t>
            </w:r>
            <w:r>
              <w:rPr>
                <w:b/>
                <w:i/>
              </w:rPr>
              <w:t>2025</w:t>
            </w:r>
            <w:r>
              <w:t>.</w:t>
            </w:r>
          </w:p>
        </w:tc>
      </w:tr>
    </w:tbl>
    <w:p w:rsidR="00CD27ED" w:rsidRDefault="00EC3B50">
      <w:pPr>
        <w:pStyle w:val="Olang"/>
      </w:pPr>
      <w:r>
        <w:t xml:space="preserve">Or. </w:t>
      </w:r>
      <w:r>
        <w:rPr>
          <w:rStyle w:val="HideTWBExt"/>
        </w:rPr>
        <w:t>&lt;Original&gt;</w:t>
      </w:r>
      <w:r>
        <w:rPr>
          <w:rStyle w:val="HideTWBInt"/>
        </w:rPr>
        <w:t>{EN}</w:t>
      </w:r>
      <w:r>
        <w:t>en</w:t>
      </w:r>
      <w:r>
        <w:rPr>
          <w:rStyle w:val="HideTWBExt"/>
        </w:rPr>
        <w:t>&lt;/Original&gt;</w:t>
      </w:r>
    </w:p>
    <w:p w:rsidR="00CD27ED" w:rsidRDefault="00EC3B50">
      <w:r>
        <w:rPr>
          <w:rStyle w:val="HideTWBExt"/>
        </w:rPr>
        <w:t>&lt;/Amend&gt;&lt;/RepeatBlock-Amend&gt;</w:t>
      </w:r>
    </w:p>
    <w:sectPr w:rsidR="00CD27ED">
      <w:footerReference w:type="even" r:id="rId7"/>
      <w:footerReference w:type="default" r:id="rId8"/>
      <w:footerReference w:type="first" r:id="rId9"/>
      <w:pgSz w:w="11906" w:h="16838"/>
      <w:pgMar w:top="1134" w:right="1417" w:bottom="1417" w:left="1417"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B50" w:rsidRDefault="00EC3B50">
      <w:r>
        <w:separator/>
      </w:r>
    </w:p>
  </w:endnote>
  <w:endnote w:type="continuationSeparator" w:id="0">
    <w:p w:rsidR="00EC3B50" w:rsidRDefault="00EC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ED" w:rsidRDefault="00EC3B50">
    <w:pPr>
      <w:pStyle w:val="Zpat"/>
    </w:pPr>
    <w:r>
      <w:t>PE</w:t>
    </w:r>
    <w:r>
      <w:rPr>
        <w:rStyle w:val="HideTWBExt"/>
      </w:rPr>
      <w:t>&lt;NoPE&gt;</w:t>
    </w:r>
    <w:r>
      <w:t>632.937</w:t>
    </w:r>
    <w:r>
      <w:rPr>
        <w:rStyle w:val="HideTWBExt"/>
      </w:rPr>
      <w:t>&lt;/NoPE&gt;&lt;Version&gt;</w:t>
    </w:r>
    <w:r>
      <w:t>v01-00</w:t>
    </w:r>
    <w:r>
      <w:rPr>
        <w:rStyle w:val="HideTWBExt"/>
      </w:rPr>
      <w:t>&lt;/Version&gt;</w:t>
    </w:r>
    <w:r>
      <w:tab/>
    </w:r>
    <w:r>
      <w:fldChar w:fldCharType="begin"/>
    </w:r>
    <w:r>
      <w:instrText>PA</w:instrText>
    </w:r>
    <w:r>
      <w:instrText>GE</w:instrText>
    </w:r>
    <w:r w:rsidR="003F1B38">
      <w:fldChar w:fldCharType="separate"/>
    </w:r>
    <w:r w:rsidR="003F1B38">
      <w:rPr>
        <w:noProof/>
      </w:rPr>
      <w:t>2</w:t>
    </w:r>
    <w:r>
      <w:fldChar w:fldCharType="end"/>
    </w:r>
    <w:r>
      <w:t>/</w:t>
    </w:r>
    <w:r>
      <w:fldChar w:fldCharType="begin"/>
    </w:r>
    <w:r>
      <w:instrText>NUMPAGES</w:instrText>
    </w:r>
    <w:r w:rsidR="003F1B38">
      <w:fldChar w:fldCharType="separate"/>
    </w:r>
    <w:r w:rsidR="003F1B38">
      <w:rPr>
        <w:noProof/>
      </w:rPr>
      <w:t>2</w:t>
    </w:r>
    <w:r>
      <w:fldChar w:fldCharType="end"/>
    </w:r>
    <w:r>
      <w:tab/>
    </w:r>
    <w:r>
      <w:rPr>
        <w:rStyle w:val="HideTWBExt"/>
      </w:rPr>
      <w:t>&lt;PathFdR&gt;</w:t>
    </w:r>
    <w:r>
      <w:t>AM\1174109FR.docx</w:t>
    </w:r>
    <w:r>
      <w:rPr>
        <w:rStyle w:val="HideTWBExt"/>
      </w:rPr>
      <w:t>&lt;/PathFdR&gt;</w:t>
    </w:r>
  </w:p>
  <w:p w:rsidR="00CD27ED" w:rsidRDefault="00EC3B50">
    <w:pPr>
      <w:pStyle w:val="Footer2"/>
    </w:pPr>
    <w: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ED" w:rsidRDefault="00EC3B50">
    <w:pPr>
      <w:pStyle w:val="Zpat"/>
    </w:pPr>
    <w:r>
      <w:rPr>
        <w:rStyle w:val="HideTWBExt"/>
      </w:rPr>
      <w:t>&lt;PathFdR&gt;</w:t>
    </w:r>
    <w:r>
      <w:t>AM\1174109FR.docx</w:t>
    </w:r>
    <w:r>
      <w:rPr>
        <w:rStyle w:val="HideTWBExt"/>
      </w:rPr>
      <w:t>&lt;/PathFdR&gt;</w:t>
    </w:r>
    <w:r>
      <w:tab/>
    </w:r>
    <w:r>
      <w:fldChar w:fldCharType="begin"/>
    </w:r>
    <w:r>
      <w:instrText>PAGE</w:instrText>
    </w:r>
    <w:r w:rsidR="003F1B38">
      <w:fldChar w:fldCharType="separate"/>
    </w:r>
    <w:r w:rsidR="003F1B38">
      <w:rPr>
        <w:noProof/>
      </w:rPr>
      <w:t>3</w:t>
    </w:r>
    <w:r>
      <w:fldChar w:fldCharType="end"/>
    </w:r>
    <w:r>
      <w:t>/</w:t>
    </w:r>
    <w:r>
      <w:fldChar w:fldCharType="begin"/>
    </w:r>
    <w:r>
      <w:instrText>NUMPAGES</w:instrText>
    </w:r>
    <w:r w:rsidR="003F1B38">
      <w:fldChar w:fldCharType="separate"/>
    </w:r>
    <w:r w:rsidR="003F1B38">
      <w:rPr>
        <w:noProof/>
      </w:rPr>
      <w:t>3</w:t>
    </w:r>
    <w:r>
      <w:fldChar w:fldCharType="end"/>
    </w:r>
    <w:r>
      <w:tab/>
      <w:t>PE</w:t>
    </w:r>
    <w:r>
      <w:rPr>
        <w:rStyle w:val="HideTWBExt"/>
      </w:rPr>
      <w:t>&lt;NoPE&gt;</w:t>
    </w:r>
    <w:r>
      <w:t>632.937</w:t>
    </w:r>
    <w:r>
      <w:rPr>
        <w:rStyle w:val="HideTWBExt"/>
      </w:rPr>
      <w:t>&lt;/NoPE&gt;&lt;Version&gt;</w:t>
    </w:r>
    <w:r>
      <w:t>v01-00</w:t>
    </w:r>
    <w:r>
      <w:rPr>
        <w:rStyle w:val="HideTWBExt"/>
      </w:rPr>
      <w:t>&lt;/Version&gt;</w:t>
    </w:r>
  </w:p>
  <w:p w:rsidR="00CD27ED" w:rsidRDefault="00EC3B50">
    <w:pPr>
      <w:pStyle w:val="Footer2"/>
    </w:pPr>
    <w:r>
      <w:tab/>
    </w:r>
    <w:r>
      <w:tab/>
      <w:t>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7ED" w:rsidRDefault="00EC3B50">
    <w:pPr>
      <w:pStyle w:val="Zpat"/>
    </w:pPr>
    <w:r>
      <w:rPr>
        <w:rStyle w:val="HideTWBExt"/>
      </w:rPr>
      <w:t>&lt;PathFdR&gt;</w:t>
    </w:r>
    <w:r>
      <w:t>AM\1174109FR.docx</w:t>
    </w:r>
    <w:r>
      <w:rPr>
        <w:rStyle w:val="HideTWBExt"/>
      </w:rPr>
      <w:t>&lt;/PathFdR&gt;</w:t>
    </w:r>
    <w:r>
      <w:tab/>
    </w:r>
    <w:r>
      <w:tab/>
      <w:t>PE</w:t>
    </w:r>
    <w:r>
      <w:rPr>
        <w:rStyle w:val="HideTWBExt"/>
      </w:rPr>
      <w:t>&lt;NoPE&gt;</w:t>
    </w:r>
    <w:r>
      <w:t>632.937</w:t>
    </w:r>
    <w:r>
      <w:rPr>
        <w:rStyle w:val="HideTWBExt"/>
      </w:rPr>
      <w:t>&lt;/NoPE&gt;&lt;Version&gt;</w:t>
    </w:r>
    <w:r>
      <w:t>v01-00</w:t>
    </w:r>
    <w:r>
      <w:rPr>
        <w:rStyle w:val="HideTWBExt"/>
      </w:rPr>
      <w:t>&lt;/Version&gt;</w:t>
    </w:r>
  </w:p>
  <w:p w:rsidR="00CD27ED" w:rsidRDefault="00EC3B50">
    <w:pPr>
      <w:pStyle w:val="Footer2"/>
    </w:pPr>
    <w:r>
      <w:t>FR</w:t>
    </w:r>
    <w:r>
      <w:tab/>
    </w:r>
    <w:r>
      <w:rPr>
        <w:rStyle w:val="Footer2Middle"/>
      </w:rPr>
      <w:t>Unie dans la diversité</w:t>
    </w:r>
    <w:r>
      <w:tab/>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B50" w:rsidRDefault="00EC3B50">
      <w:r>
        <w:separator/>
      </w:r>
    </w:p>
  </w:footnote>
  <w:footnote w:type="continuationSeparator" w:id="0">
    <w:p w:rsidR="00EC3B50" w:rsidRDefault="00EC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929516 HideTWBExt;}}{\*\rsidtbl \rsid24658\rsid735077\rsid2892074\rsid4666813\rsid6641733\rsid9636012\rsid11215221\rsid12154954\rsid14424199\rsid15204470\rsid15285974\rsid15927113_x000d__x000a_\rsid15929516\rsid15950462\rsid16324206\rsid16662270}{\mmathPr\mmathFont34\mbrkBin0\mbrkBinSub0\msmallFrac0\mdispDef1\mlMargin0\mrMargin0\mdefJc1\mwrapIndent1440\mintLim0\mnaryLim1}{\info{\author FELIX Karina}{\operator FELIX Karina}_x000d__x000a_{\creatim\yr2018\mo11\dy21\hr19\min11}{\revtim\yr2018\mo11\dy21\hr19\min11}{\version1}{\edmins0}{\nofpages1}{\nofwords5}{\nofchars34}{\*\company European Parliament}{\nofcharsws38}{\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5929516\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92711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927113 \chftnsepc _x000d__x000a_\par }}{\*\aftnsep \ltrpar \pard\plain \ltrpar\ql \li0\ri0\widctlpar\wrapdefault\aspalpha\aspnum\faauto\adjustright\rin0\lin0\itap0 \rtlch\fcs1 \af0\afs20\alang1025 \ltrch\fcs0 \fs24\lang2057\langfe2057\cgrid\langnp2057\langfenp2057 {\rtlch\fcs1 \af0 _x000d__x000a_\ltrch\fcs0 \insrsid15927113 \chftnsep _x000d__x000a_\par }}{\*\aftnsepc \ltrpar \pard\plain \ltrpar\ql \li0\ri0\widctlpar\wrapdefault\aspalpha\aspnum\faauto\adjustright\rin0\lin0\itap0 \rtlch\fcs1 \af0\afs20\alang1025 \ltrch\fcs0 \fs24\lang2057\langfe2057\cgrid\langnp2057\langfenp2057 {\rtlch\fcs1 \af0 _x000d__x000a_\ltrch\fcs0 \insrsid1592711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5929516 \rtlch\fcs1 \af0\afs20\alang1025 \ltrch\fcs0 \fs24\lang2057\langfe2057\cgrid\langnp2057\langfenp2057 {\rtlch\fcs1 \af0 \ltrch\fcs0 _x000d__x000a_\cs15\v\f1\fs20\cf9\insrsid15929516\charrsid12784134 {\*\bkmkstart EndA}&lt;&lt;&lt;}{\rtlch\fcs1 \af0 \ltrch\fcs0 \insrsid15929516\charrsid12784134 #@&gt;ZOTHAMA&lt;@#}{\rtlch\fcs1 \af0 \ltrch\fcs0 \cs15\v\f1\fs20\cf9\insrsid15929516\charrsid12784134 _x000d__x000a_&lt;/RepeatBlock-AmendA&gt;}{\rtlch\fcs1 \af0 \ltrch\fcs0 \insrsid15929516\charrsid12784134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32_x000d__x000a_1694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703520 HideTWBExt;}}{\*\rsidtbl \rsid24658\rsid735077\rsid2892074\rsid4666813\rsid6641733\rsid9636012\rsid11215221\rsid12154954\rsid14424199\rsid14703520\rsid15204470\rsid15285974_x000d__x000a_\rsid15950462\rsid16324206\rsid16662270\rsid16711907}{\mmathPr\mmathFont34\mbrkBin0\mbrkBinSub0\msmallFrac0\mdispDef1\mlMargin0\mrMargin0\mdefJc1\mwrapIndent1440\mintLim0\mnaryLim1}{\info{\author FELIX Karina}{\operator FELIX Karina}_x000d__x000a_{\creatim\yr2018\mo11\dy21\hr19\min11}{\revtim\yr2018\mo11\dy21\hr19\min11}{\version1}{\edmins0}{\nofpages1}{\nofwords5}{\nofchars33}{\*\company European Parliament}{\nofcharsws37}{\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4703520\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671190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6711907 \chftnsepc _x000d__x000a_\par }}{\*\aftnsep \ltrpar \pard\plain \ltrpar\ql \li0\ri0\widctlpar\wrapdefault\aspalpha\aspnum\faauto\adjustright\rin0\lin0\itap0 \rtlch\fcs1 \af0\afs20\alang1025 \ltrch\fcs0 \fs24\lang2057\langfe2057\cgrid\langnp2057\langfenp2057 {\rtlch\fcs1 \af0 _x000d__x000a_\ltrch\fcs0 \insrsid16711907 \chftnsep _x000d__x000a_\par }}{\*\aftnsepc \ltrpar \pard\plain \ltrpar\ql \li0\ri0\widctlpar\wrapdefault\aspalpha\aspnum\faauto\adjustright\rin0\lin0\itap0 \rtlch\fcs1 \af0\afs20\alang1025 \ltrch\fcs0 \fs24\lang2057\langfe2057\cgrid\langnp2057\langfenp2057 {\rtlch\fcs1 \af0 _x000d__x000a_\ltrch\fcs0 \insrsid1671190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4703520\charrsid12784134 {\*\bkmkstart EndB}&lt;&lt;&lt;}{\rtlch\fcs1 \af0 \ltrch\fcs0 \insrsid14703520\charrsid12784134 #@&gt;ZOTHAMB&lt;@#}{\rtlch\fcs1 \af0 \ltrch\fcs0 \cs15\v\f1\fs20\cf9\insrsid14703520\charrsid12784134 _x000d__x000a_&lt;/RepeatBlock-AmendB&gt;}{\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13_x000d__x000a_8b94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gruik" w:val="value of gruik"/>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2255879 HideTWBExt;}}{\*\rsidtbl \rsid24658\rsid735077\rsid2892074\rsid4666813\rsid4808334\rsid6641733\rsid9636012\rsid11215221\rsid12154954\rsid12255879\rsid14424199\rsid15204470_x000d__x000a_\rsid15285974\rsid15950462\rsid16324206\rsid16662270}{\mmathPr\mmathFont34\mbrkBin0\mbrkBinSub0\msmallFrac0\mdispDef1\mlMargin0\mrMargin0\mdefJc1\mwrapIndent1440\mintLim0\mnaryLim1}{\info{\author FELIX Karina}{\operator FELIX Karina}_x000d__x000a_{\creatim\yr2018\mo11\dy21\hr19\min11}{\revtim\yr2018\mo11\dy21\hr19\min11}{\version1}{\edmins0}{\nofpages1}{\nofwords3}{\nofchars18}{\*\company European Parliament}{\nofcharsws20}{\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2255879\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4808334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4808334 \chftnsepc _x000d__x000a_\par }}{\*\aftnsep \ltrpar \pard\plain \ltrpar\ql \li0\ri0\widctlpar\wrapdefault\aspalpha\aspnum\faauto\adjustright\rin0\lin0\itap0 \rtlch\fcs1 \af0\afs20\alang1025 \ltrch\fcs0 \fs24\lang2057\langfe2057\cgrid\langnp2057\langfenp2057 {\rtlch\fcs1 \af0 _x000d__x000a_\ltrch\fcs0 \insrsid4808334 \chftnsep _x000d__x000a_\par }}{\*\aftnsepc \ltrpar \pard\plain \ltrpar\ql \li0\ri0\widctlpar\wrapdefault\aspalpha\aspnum\faauto\adjustright\rin0\lin0\itap0 \rtlch\fcs1 \af0\afs20\alang1025 \ltrch\fcs0 \fs24\lang2057\langfe2057\cgrid\langnp2057\langfenp2057 {\rtlch\fcs1 \af0 _x000d__x000a_\ltrch\fcs0 \insrsid480833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12255879\charrsid12784134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801f_x000d__x000a_2393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944804 HideTWBExt;}}{\*\rsidtbl \rsid24658\rsid735077\rsid944804\rsid2892074\rsid4666813\rsid6641733\rsid7423011\rsid9636012\rsid11215221\rsid12154954\rsid14424199\rsid15204470\rsid15285974_x000d__x000a_\rsid15950462\rsid16324206\rsid16662270}{\mmathPr\mmathFont34\mbrkBin0\mbrkBinSub0\msmallFrac0\mdispDef1\mlMargin0\mrMargin0\mdefJc1\mwrapIndent1440\mintLim0\mnaryLim1}{\info{\author FELIX Karina}{\operator FELIX Karina}_x000d__x000a_{\creatim\yr2018\mo11\dy21\hr19\min11}{\revtim\yr2018\mo11\dy21\hr19\min11}{\version1}{\edmins0}{\nofpages1}{\nofwords3}{\nofchars18}{\*\company European Parliament}{\nofcharsws20}{\vern95}}{\*\xmlnstbl {\xmlns1 http://schemas.microsoft.com/office/word/20_x000d__x000a_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944804\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742301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7423011 \chftnsepc _x000d__x000a_\par }}{\*\aftnsep \ltrpar \pard\plain \ltrpar\ql \li0\ri0\widctlpar\wrapdefault\aspalpha\aspnum\faauto\adjustright\rin0\lin0\itap0 \rtlch\fcs1 \af0\afs20\alang1025 \ltrch\fcs0 \fs24\lang2057\langfe2057\cgrid\langnp2057\langfenp2057 {\rtlch\fcs1 \af0 _x000d__x000a_\ltrch\fcs0 \insrsid7423011 \chftnsep _x000d__x000a_\par }}{\*\aftnsepc \ltrpar \pard\plain \ltrpar\ql \li0\ri0\widctlpar\wrapdefault\aspalpha\aspnum\faauto\adjustright\rin0\lin0\itap0 \rtlch\fcs1 \af0\afs20\alang1025 \ltrch\fcs0 \fs24\lang2057\langfe2057\cgrid\langnp2057\langfenp2057 {\rtlch\fcs1 \af0 _x000d__x000a_\ltrch\fcs0 \insrsid7423011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b\v\f1\fs20\cf9\insrsid944804\charrsid12784134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504b_x000d__x000a_9a93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3435467 HideTWBExt;}{\s16\ql \li0\ri0\sa120\nowidctlpar\wrapdefault\aspalpha\aspnum\faauto\adjustright\rin0\lin0\itap0 \rtlch\fcs1 \af0\afs20\alang1025 \ltrch\fcs0 _x000d__x000a_\fs24\lang2057\langfe2057\cgrid\langnp2057\langfenp2057 \sbasedon0 \snext16 \slink17 \spriority0 \styrsid3435467 Normal6;}{\*\cs17 \additive \fs24 \slink16 \slocked \spriority0 \styrsid3435467 Normal6 Char;}{_x000d__x000a_\s18\ql \li0\ri0\nowidctlpar\wrapdefault\aspalpha\aspnum\faauto\adjustright\rin0\lin0\itap0 \rtlch\fcs1 \af0\afs20\alang1025 \ltrch\fcs0 \b\fs24\lang2057\langfe2057\cgrid\langnp2057\langfenp2057 \sbasedon0 \snext18 \slink19 \spriority0 \styrsid3435467 _x000d__x000a_NormalBold;}{\*\cs19 \additive \b\fs24 \slink18 \slocked \spriority0 \styrsid3435467 NormalBold Char;}{\s20\qr \li0\ri0\sb240\sa240\nowidctlpar\wrapdefault\aspalpha\aspnum\faauto\adjustright\rin0\lin0\itap0 \rtlch\fcs1 \af0\afs20\alang1025 \ltrch\fcs0 _x000d__x000a_\fs24\lang1024\langfe1024\cgrid\noproof\langnp2057\langfenp2057 \sbasedon0 \snext20 \spriority0 \styrsid3435467 Olang;}{\s21\qc \li0\ri0\sa240\nowidctlpar\wrapdefault\aspalpha\aspnum\faauto\adjustright\rin0\lin0\itap0 \rtlch\fcs1 \af0\afs20\alang1025 _x000d__x000a_\ltrch\fcs0 \i\fs24\lang2057\langfe2057\cgrid\langnp2057\langfenp2057 \sbasedon0 \snext21 \spriority0 \styrsid3435467 ColumnHeading;}{\s22\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2 \spriority0 \styrsid3435467 AMNumberTabs;}}{\*\rsidtbl \rsid24658\rsid735077\rsid2892074\rsid3435467\rsid4666813\rsid6641733\rsid9636012\rsid11215221\rsid12154954_x000d__x000a_\rsid14424199\rsid15204470\rsid15285974\rsid15729155\rsid15950462\rsid16324206\rsid16662270}{\mmathPr\mmathFont34\mbrkBin0\mbrkBinSub0\msmallFrac0\mdispDef1\mlMargin0\mrMargin0\mdefJc1\mwrapIndent1440\mintLim0\mnaryLim1}{\info{\author FELIX Karina}_x000d__x000a_{\operator FELIX Karina}{\creatim\yr2018\mo11\dy21\hr19\min11}{\revtim\yr2018\mo11\dy21\hr19\min11}{\version1}{\edmins0}{\nofpages1}{\nofwords48}{\nofchars279}{\*\company European Parliament}{\nofcharsws326}{\vern95}}{\*\xmlnstbl {\xmlns1 http://schemas.m_x000d__x000a_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343546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72915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729155 \chftnsepc _x000d__x000a_\par }}{\*\aftnsep \ltrpar \pard\plain \ltrpar\ql \li0\ri0\widctlpar\wrapdefault\aspalpha\aspnum\faauto\adjustright\rin0\lin0\itap0 \rtlch\fcs1 \af0\afs20\alang1025 \ltrch\fcs0 \fs24\lang2057\langfe2057\cgrid\langnp2057\langfenp2057 {\rtlch\fcs1 \af0 _x000d__x000a_\ltrch\fcs0 \insrsid15729155 \chftnsep _x000d__x000a_\par }}{\*\aftnsepc \ltrpar \pard\plain \ltrpar\ql \li0\ri0\widctlpar\wrapdefault\aspalpha\aspnum\faauto\adjustright\rin0\lin0\itap0 \rtlch\fcs1 \af0\afs20\alang1025 \ltrch\fcs0 \fs24\lang2057\langfe2057\cgrid\langnp2057\langfenp2057 {\rtlch\fcs1 \af0 _x000d__x000a_\ltrch\fcs0 \insrsid1572915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2\ql \li0\ri0\sb240\keepn\nowidctlpar\tx879\tx936\tx1021\tx1077\tx1134\tx1191\tx1247\tx1304\tx1361\tx1418\tx1474\tx1531\tx1588\tx1644\tx1701\tx1758\tx1814\tx1871\tx2070\tx2126\tx3374\tx3430\wrapdefault\aspalpha\aspnum\faauto\adjustright\rin0_x000d__x000a_\lin0\itap0\pararsid3435467 \rtlch\fcs1 \af0\afs20\alang1025 \ltrch\fcs0 \b\fs24\lang2057\langfe2057\cgrid\langnp2057\langfenp2057 {\rtlch\fcs1 \af0 \ltrch\fcs0 \cs15\b0\v\f1\fs20\cf9\insrsid3435467\charrsid12784134 {\*\bkmkstart restartA}&lt;AmendA&gt;}{_x000d__x000a_\rtlch\fcs1 \af0 \ltrch\fcs0 \insrsid3435467\charrsid12784134 [ZAMENDMENT]\tab \tab }{\rtlch\fcs1 \af0 \ltrch\fcs0 \cs15\b0\v\f1\fs20\cf9\insrsid3435467\charrsid12784134 &lt;NumAmA&gt;}{\rtlch\fcs1 \af0 \ltrch\fcs0 \insrsid3435467\charrsid12784134 [ZNRAM]}{_x000d__x000a_\rtlch\fcs1 \af0 \ltrch\fcs0 \cs15\b0\v\f1\fs20\cf9\insrsid3435467\charrsid12784134 &lt;/NumAmA&gt;}{\rtlch\fcs1 \af0 \ltrch\fcs0 \insrsid3435467\charrsid12784134 _x000d__x000a_\par }\pard\plain \ltrpar\s18\ql \li0\ri0\nowidctlpar\wrapdefault\aspalpha\aspnum\faauto\adjustright\rin0\lin0\itap0\pararsid3435467 \rtlch\fcs1 \af0\afs20\alang1025 \ltrch\fcs0 \b\fs24\lang2057\langfe2057\cgrid\langnp2057\langfenp2057 {\rtlch\fcs1 \af0 _x000d__x000a_\ltrch\fcs0 \cs15\b0\v\f1\fs20\cf9\lang1024\langfe1024\noproof\insrsid3435467\charrsid14699840 &lt;RepeatBlock-By&gt;}{\rtlch\fcs1 \af0 \ltrch\fcs0 \lang1024\langfe1024\noproof\insrsid3435467\charrsid14699840 [RepeatMembers]}{\rtlch\fcs1 \af0 \ltrch\fcs0 _x000d__x000a_\cs15\b0\v\f1\fs20\cf9\lang1024\langfe1024\noproof\insrsid3435467\charrsid14699840 &lt;Members&gt;}{\rtlch\fcs1 \af0 \ltrch\fcs0 \insrsid3435467\charrsid14699840 [ZMEMBERS]}{\rtlch\fcs1 \af0 \ltrch\fcs0 _x000d__x000a_\cs15\b0\v\f1\fs20\cf9\lang1024\langfe1024\noproof\insrsid3435467\charrsid14699840 &lt;/Members&gt;}{\rtlch\fcs1 \af0 \ltrch\fcs0 \insrsid3435467\charrsid14699840 _x000d__x000a_\par }\pard\plain \ltrpar\ql \li0\ri0\widctlpar\wrapdefault\aspalpha\aspnum\faauto\adjustright\rin0\lin0\itap0\pararsid3435467 \rtlch\fcs1 \af0\afs20\alang1025 \ltrch\fcs0 \fs24\lang2057\langfe2057\cgrid\langnp2057\langfenp2057 {\rtlch\fcs1 \af0 \ltrch\fcs0 _x000d__x000a_\cs15\v\f1\fs20\cf9\lang1024\langfe1024\noproof\insrsid3435467\charrsid14699840 &lt;AuNomDe&gt;&lt;OptDel&gt;}{\rtlch\fcs1 \af0 \ltrch\fcs0 \lang1024\langfe1024\noproof\insrsid3435467\charrsid14699840 [ZONBEHALF]}{\rtlch\fcs1 \af0 \ltrch\fcs0 _x000d__x000a_\cs15\v\f1\fs20\cf9\lang1024\langfe1024\noproof\insrsid3435467\charrsid14699840 &lt;/OptDel&gt;&lt;/AuNomDe&gt;}{\rtlch\fcs1 \af0 \ltrch\fcs0 \insrsid3435467\charrsid14699840 _x000d__x000a_\par &lt;&lt;&lt;}{\rtlch\fcs1 \af0 \ltrch\fcs0 \cs15\v\f1\fs20\cf9\lang1024\langfe1024\noproof\insrsid3435467\charrsid14699840 &lt;/RepeatBlock-By&gt;}{\rtlch\fcs1 \af0 \ltrch\fcs0 \insrsid3435467\charrsid14699840 _x000d__x000a_\par }\pard\plain \ltrpar\s18\ql \li0\ri0\nowidctlpar\wrapdefault\aspalpha\aspnum\faauto\adjustright\rin0\lin0\itap0\pararsid3435467 \rtlch\fcs1 \af0\afs20\alang1025 \ltrch\fcs0 \b\fs24\lang2057\langfe2057\cgrid\langnp2057\langfenp2057 {\rtlch\fcs1 \af0 _x000d__x000a_\ltrch\fcs0 \cs15\b0\v\f1\fs20\cf9\insrsid3435467\charrsid12784134 &lt;DocAmend&gt;}{\rtlch\fcs1 \af0 \ltrch\fcs0 \insrsid3435467\charrsid12784134 [ZRESOLUTION]}{\rtlch\fcs1 \af0 \ltrch\fcs0 \cs15\b0\v\f1\fs20\cf9\insrsid3435467\charrsid12784134 &lt;/DocAmend&gt;}{_x000d__x000a_\rtlch\fcs1 \af0 \ltrch\fcs0 \insrsid3435467\charrsid12784134 _x000d__x000a_\par }{\rtlch\fcs1 \af0 \ltrch\fcs0 \cs15\b0\v\f1\fs20\cf9\lang1024\langfe1024\noproof\insrsid3435467\charrsid8741043 &lt;Article&gt;}{\rtlch\fcs1 \af0 \ltrch\fcs0 \insrsid3435467\charrsid8741043 [ZRESPART]}{\rtlch\fcs1 \af0 \ltrch\fcs0 _x000d__x000a_\cs15\b0\v\f1\fs20\cf9\lang1024\langfe1024\noproof\insrsid3435467\charrsid8741043 &lt;/Article&gt;}{\rtlch\fcs1 \af0 \ltrch\fcs0 \insrsid3435467\charrsid8741043 _x000d__x000a_\par \ltrrow}\trowd \irow0\irowband0\ltrrow\ts11\trqc\trgaph340\trleft-340\trftsWidth1\trftsWidthB3\trftsWidthA3\trpaddl340\trpaddr340\trpaddfl3\trpaddfr3\tblind0\tblindtype3 \clvertalt\clbrdrt\brdrtbl \clbrdrl\brdrtbl \clbrdrb\brdrtbl \clbrdrr\brdrtbl _x000d__x000a_\cltxlrtb\clftsWidth3\clwWidth9752\clshdrawnil \cellx9412\pard\plain \ltrpar\ql \li0\ri0\keepn\widctlpar\intbl\wrapdefault\aspalpha\aspnum\faauto\adjustright\rin0\lin0\pararsid4786594 \rtlch\fcs1 \af0\afs20\alang1025 \ltrch\fcs0 _x000d__x000a_\fs24\lang2057\langfe2057\cgrid\langnp2057\langfenp2057 {\rtlch\fcs1 \af0 \ltrch\fcs0 \insrsid3435467\charrsid12784134 \cell }\pard \ltrpar\ql \li0\ri0\widctlpar\intbl\wrapdefault\aspalpha\aspnum\faauto\adjustright\rin0\lin0 {\rtlch\fcs1 \af0 \ltrch\fcs0 _x000d__x000a_\insrsid3435467\charrsid12784134 \trowd \irow0\irowband0\ltrrow\ts11\trqc\trgaph340\trleft-340\trftsWidth1\trftsWidthB3\trftsWidthA3\trpaddl340\trpaddr340\trpaddfl3\trpaddfr3\tblind0\tblindtype3 \clvertalt\clbrdrt\brdrtbl \clbrdrl\brdrtbl \clbrdrb_x000d__x000a_\brdrtbl \clbrdrr\brdrtbl \cltxlrtb\clftsWidth3\clwWidth9752\clshdrawnil \cellx9412\row \ltrrow}\trowd \irow1\irowband1\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1\qc \li0\ri0\sa240\keepn\nowidctlpar\intbl\wrapdefault\aspalpha\aspnum\faauto\adjustright\rin0\lin0\pararsid4786594 \rtlch\fcs1 \af0\afs20\alang1025 \ltrch\fcs0 \i\fs24\lang2057\langfe2057\cgrid\langnp2057\langfenp2057 {\rtlch\fcs1 \af0 \ltrch\fcs0 _x000d__x000a_\insrsid3435467\charrsid12784134 [ZLEFTA]\cell [ZRIGHT]\cell }\pard\plain \ltrpar\ql \li0\ri0\widctlpar\intbl\wrapdefault\aspalpha\aspnum\faauto\adjustright\rin0\lin0 \rtlch\fcs1 \af0\afs20\alang1025 \ltrch\fcs0 _x000d__x000a_\fs24\lang2057\langfe2057\cgrid\langnp2057\langfenp2057 {\rtlch\fcs1 \af0 \ltrch\fcs0 \insrsid3435467\charrsid12784134 \trowd \irow1\irowband1\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3435467\charrsid12784134 [ZTEXTL]\cell }\pard \ltrpar\s16\ql \li0\ri0\sa120\nowidctlpar\intbl\wrapdefault\aspalpha\aspnum\faauto\adjustright\rin0\lin0\pararsid4786594 {\rtlch\fcs1 \af0 \ltrch\fcs0 \insrsid3435467\charrsid12784134 [ZTEXTR]}{_x000d__x000a_\rtlch\fcs1 \af0\afs24 \ltrch\fcs0 \insrsid3435467\charrsid12784134 \cell }\pard\plain \ltrpar\ql \li0\ri0\widctlpar\intbl\wrapdefault\aspalpha\aspnum\faauto\adjustright\rin0\lin0 \rtlch\fcs1 \af0\afs20\alang1025 \ltrch\fcs0 _x000d__x000a_\fs24\lang2057\langfe2057\cgrid\langnp2057\langfenp2057 {\rtlch\fcs1 \af0 \ltrch\fcs0 \insrsid3435467\charrsid12784134 \trowd \irow2\irowband2\lastrow \ltrrow_x000d__x000a_\ts11\trqc\trgaph340\trleft-340\trftsWidth1\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0\qr \li0\ri0\sb240\sa240\nowidctlpar\wrapdefault\aspalpha\aspnum\faauto\adjustright\rin0\lin0\itap0\pararsid3435467 \rtlch\fcs1 \af0\afs20\alang1025 \ltrch\fcs0 \fs24\lang1024\langfe1024\cgrid\noproof\langnp2057\langfenp2057 {\rtlch\fcs1 \af0 _x000d__x000a_\ltrch\fcs0 \noproof0\insrsid3435467\charrsid12784134 Or. }{\rtlch\fcs1 \af0 \ltrch\fcs0 \cs15\v\f1\fs20\cf9\noproof0\insrsid3435467\charrsid12784134 &lt;Original&gt;}{\rtlch\fcs1 \af0 \ltrch\fcs0 \noproof0\insrsid3435467\charrsid12784134 [ZORLANG]}{_x000d__x000a_\rtlch\fcs1 \af0 \ltrch\fcs0 \cs15\v\f1\fs20\cf9\noproof0\insrsid3435467\charrsid12784134 &lt;/Original&gt;}{\rtlch\fcs1 \af0 \ltrch\fcs0 \noproof0\insrsid3435467\charrsid12784134 _x000d__x000a_\par }\pard\plain \ltrpar\ql \li0\ri0\widctlpar\wrapdefault\aspalpha\aspnum\faauto\adjustright\rin0\lin0\itap0\pararsid3435467 \rtlch\fcs1 \af0\afs20\alang1025 \ltrch\fcs0 \fs24\lang2057\langfe2057\cgrid\langnp2057\langfenp2057 {\rtlch\fcs1 \af0 \ltrch\fcs0 _x000d__x000a_\cs15\v\f1\fs20\cf9\insrsid3435467\charrsid12784134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fa_x000d__x000a_0695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1\fbidi \froman\fcharset238\fprq2 Times New Roman CE;}{\f282\fbidi \froman\fcharset204\fprq2 Times New Roman Cyr;}_x000d__x000a_{\f284\fbidi \froman\fcharset161\fprq2 Times New Roman Greek;}{\f285\fbidi \froman\fcharset162\fprq2 Times New Roman Tur;}{\f286\fbidi \froman\fcharset177\fprq2 Times New Roman (Hebrew);}{\f287\fbidi \froman\fcharset178\fprq2 Times New Roman (Arabic);}_x000d__x000a_{\f288\fbidi \froman\fcharset186\fprq2 Times New Roman Baltic;}{\f289\fbidi \froman\fcharset163\fprq2 Times New Roman (Vietnamese);}{\f291\fbidi \fswiss\fcharset238\fprq2 Arial CE;}{\f292\fbidi \fswiss\fcharset204\fprq2 Arial Cyr;}_x000d__x000a_{\f294\fbidi \fswiss\fcharset161\fprq2 Arial Greek;}{\f295\fbidi \fswiss\fcharset162\fprq2 Arial Tur;}{\f296\fbidi \fswiss\fcharset177\fprq2 Arial (Hebrew);}{\f297\fbidi \fswiss\fcharset178\fprq2 Arial (Arabic);}_x000d__x000a_{\f298\fbidi \fswiss\fcharset186\fprq2 Arial Baltic;}{\f299\fbidi \fswiss\fcharset163\fprq2 Arial (Vietnamese);}{\f621\fbidi \froman\fcharset238\fprq2 Cambria Math CE;}{\f622\fbidi \froman\fcharset204\fprq2 Cambria Math Cyr;}_x000d__x000a_{\f624\fbidi \froman\fcharset161\fprq2 Cambria Math Greek;}{\f625\fbidi \froman\fcharset162\fprq2 Cambria Math Tur;}{\f628\fbidi \froman\fcharset186\fprq2 Cambria Math Baltic;}{\f629\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7283918 HideTWBExt;}{\s16\ql \li0\ri0\sa120\nowidctlpar\wrapdefault\aspalpha\aspnum\faauto\adjustright\rin0\lin0\itap0 \rtlch\fcs1 \af0\afs20\alang1025 \ltrch\fcs0 _x000d__x000a_\fs24\lang2057\langfe2057\cgrid\langnp2057\langfenp2057 \sbasedon0 \snext16 \slink17 \spriority0 \styrsid7283918 Normal6;}{\*\cs17 \additive \fs24 \slink16 \slocked \spriority0 \styrsid7283918 Normal6 Char;}{_x000d__x000a_\s18\ql \li0\ri0\nowidctlpar\wrapdefault\aspalpha\aspnum\faauto\adjustright\rin0\lin0\itap0 \rtlch\fcs1 \af0\afs20\alang1025 \ltrch\fcs0 \b\fs24\lang2057\langfe2057\cgrid\langnp2057\langfenp2057 \sbasedon0 \snext18 \slink19 \spriority0 \styrsid7283918 _x000d__x000a_NormalBold;}{\*\cs19 \additive \b\fs24 \slink18 \slocked \spriority0 \styrsid7283918 NormalBold Char;}{\s20\ql \li0\ri0\sa240\nowidctlpar\wrapdefault\aspalpha\aspnum\faauto\adjustright\rin0\lin0\itap0 \rtlch\fcs1 \af0\afs20\alang1025 \ltrch\fcs0 _x000d__x000a_\i\fs24\lang1024\langfe1024\cgrid\noproof\langnp2057\langfenp2057 \sbasedon0 \snext20 \spriority0 \styrsid7283918 Normal12Italic;}{\s21\qc \li0\ri0\sb240\nowidctlpar\wrapdefault\aspalpha\aspnum\faauto\adjustright\rin0\lin0\itap0 \rtlch\fcs1 _x000d__x000a_\af0\afs20\alang1025 \ltrch\fcs0 \i\fs24\lang2057\langfe2057\cgrid\langnp2057\langfenp2057 \sbasedon0 \snext21 \spriority0 \styrsid7283918 CrossRef;}{_x000d__x000a_\s22\qc \li0\ri0\sb240\sa240\keepn\nowidctlpar\wrapdefault\aspalpha\aspnum\faauto\adjustright\rin0\lin0\itap0 \rtlch\fcs1 \af0\afs20\alang1025 \ltrch\fcs0 \i\fs24\lang1024\langfe1024\cgrid\noproof\langnp2057\langfenp2057 _x000d__x000a_\sbasedon0 \snext0 \spriority0 \styrsid7283918 JustificationTitle;}{\s23\qr \li0\ri0\sb240\sa240\nowidctlpar\wrapdefault\aspalpha\aspnum\faauto\adjustright\rin0\lin0\itap0 \rtlch\fcs1 \af0\afs20\alang1025 \ltrch\fcs0 _x000d__x000a_\fs24\lang1024\langfe1024\cgrid\noproof\langnp2057\langfenp2057 \sbasedon0 \snext23 \spriority0 \styrsid7283918 Olang;}{\s24\qc \li0\ri0\sa240\nowidctlpar\wrapdefault\aspalpha\aspnum\faauto\adjustright\rin0\lin0\itap0 \rtlch\fcs1 \af0\afs20\alang1025 _x000d__x000a_\ltrch\fcs0 \i\fs24\lang2057\langfe2057\cgrid\langnp2057\langfenp2057 \sbasedon0 \snext24 \spriority0 \styrsid7283918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7283918 AMNumberTabs;}}{\*\rsidtbl \rsid24658\rsid735077\rsid2892074\rsid4666813\rsid6641733\rsid7283918\rsid9636012\rsid11215221\rsid12154954_x000d__x000a_\rsid12262673\rsid14424199\rsid15204470\rsid15285974\rsid15950462\rsid16324206\rsid16662270}{\mmathPr\mmathFont34\mbrkBin0\mbrkBinSub0\msmallFrac0\mdispDef1\mlMargin0\mrMargin0\mdefJc1\mwrapIndent1440\mintLim0\mnaryLim1}{\info{\author FELIX Karina}_x000d__x000a_{\operator FELIX Karina}{\creatim\yr2018\mo11\dy21\hr19\min11}{\revtim\yr2018\mo11\dy21\hr19\min11}{\version1}{\edmins0}{\nofpages1}{\nofwords78}{\nofchars447}{\*\company European Parliament}{\nofcharsws524}{\vern95}}{\*\xmlnstbl {\xmlns1 http://schemas.m_x000d__x000a_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7283918\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226267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2262673 \chftnsepc _x000d__x000a_\par }}{\*\aftnsep \ltrpar \pard\plain \ltrpar\ql \li0\ri0\widctlpar\wrapdefault\aspalpha\aspnum\faauto\adjustright\rin0\lin0\itap0 \rtlch\fcs1 \af0\afs20\alang1025 \ltrch\fcs0 \fs24\lang2057\langfe2057\cgrid\langnp2057\langfenp2057 {\rtlch\fcs1 \af0 _x000d__x000a_\ltrch\fcs0 \insrsid12262673 \chftnsep _x000d__x000a_\par }}{\*\aftnsepc \ltrpar \pard\plain \ltrpar\ql \li0\ri0\widctlpar\wrapdefault\aspalpha\aspnum\faauto\adjustright\rin0\lin0\itap0 \rtlch\fcs1 \af0\afs20\alang1025 \ltrch\fcs0 \fs24\lang2057\langfe2057\cgrid\langnp2057\langfenp2057 {\rtlch\fcs1 \af0 _x000d__x000a_\ltrch\fcs0 \insrsid1226267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7283918 \rtlch\fcs1 \af0\afs20\alang1025 \ltrch\fcs0 \b\fs24\lang2057\langfe2057\cgrid\langnp2057\langfenp2057 {\rtlch\fcs1 \af0 \ltrch\fcs0 \cs15\b0\v\f1\fs20\cf9\insrsid7283918\charrsid12784134 {\*\bkmkstart restartB}&lt;AmendB&gt;}{_x000d__x000a_\rtlch\fcs1 \af0 \ltrch\fcs0 \insrsid7283918\charrsid12784134 [ZAMENDMENT]\tab \tab }{\rtlch\fcs1 \af0 \ltrch\fcs0 \cs15\b0\v\f1\fs20\cf9\insrsid7283918\charrsid12784134 &lt;NumAmB&gt;}{\rtlch\fcs1 \af0 \ltrch\fcs0 \insrsid7283918\charrsid12784134 [ZNRAM]}{_x000d__x000a_\rtlch\fcs1 \af0 \ltrch\fcs0 \cs15\b0\v\f1\fs20\cf9\insrsid7283918\charrsid12784134 &lt;/NumAmB&gt;}{\rtlch\fcs1 \af0 \ltrch\fcs0 \insrsid7283918\charrsid12784134 _x000d__x000a_\par }\pard\plain \ltrpar\s18\ql \li0\ri0\nowidctlpar\wrapdefault\aspalpha\aspnum\faauto\adjustright\rin0\lin0\itap0\pararsid7283918 \rtlch\fcs1 \af0\afs20\alang1025 \ltrch\fcs0 \b\fs24\lang2057\langfe2057\cgrid\langnp2057\langfenp2057 {\rtlch\fcs1 \af0 _x000d__x000a_\ltrch\fcs0 \cs15\b0\v\f1\fs20\cf9\lang1024\langfe1024\noproof\insrsid7283918\charrsid14699840 &lt;RepeatBlock-By&gt;}{\rtlch\fcs1 \af0 \ltrch\fcs0 \lang1024\langfe1024\noproof\insrsid7283918\charrsid14699840 [RepeatMembers]}{\rtlch\fcs1 \af0 \ltrch\fcs0 _x000d__x000a_\cs15\b0\v\f1\fs20\cf9\lang1024\langfe1024\noproof\insrsid7283918\charrsid14699840 &lt;Members&gt;}{\rtlch\fcs1 \af0 \ltrch\fcs0 \insrsid7283918\charrsid14699840 [ZMEMBERS]}{\rtlch\fcs1 \af0 \ltrch\fcs0 _x000d__x000a_\cs15\b0\v\f1\fs20\cf9\lang1024\langfe1024\noproof\insrsid7283918\charrsid14699840 &lt;/Members&gt;}{\rtlch\fcs1 \af0 \ltrch\fcs0 \insrsid7283918\charrsid14699840 _x000d__x000a_\par }\pard\plain \ltrpar\ql \li0\ri0\widctlpar\wrapdefault\aspalpha\aspnum\faauto\adjustright\rin0\lin0\itap0\pararsid7283918 \rtlch\fcs1 \af0\afs20\alang1025 \ltrch\fcs0 \fs24\lang2057\langfe2057\cgrid\langnp2057\langfenp2057 {\rtlch\fcs1 \af0 \ltrch\fcs0 _x000d__x000a_\cs15\v\f1\fs20\cf9\lang1024\langfe1024\noproof\insrsid7283918\charrsid14699840 &lt;AuNomDe&gt;&lt;OptDel&gt;}{\rtlch\fcs1 \af0 \ltrch\fcs0 \lang1024\langfe1024\noproof\insrsid7283918\charrsid14699840 [ZONBEHALF]}{\rtlch\fcs1 \af0 \ltrch\fcs0 _x000d__x000a_\cs15\v\f1\fs20\cf9\lang1024\langfe1024\noproof\insrsid7283918\charrsid14699840 &lt;/OptDel&gt;&lt;/AuNomDe&gt;}{\rtlch\fcs1 \af0 \ltrch\fcs0 \insrsid7283918\charrsid14699840 _x000d__x000a_\par &lt;&lt;&lt;}{\rtlch\fcs1 \af0 \ltrch\fcs0 \cs15\v\f1\fs20\cf9\lang1024\langfe1024\noproof\insrsid7283918\charrsid14699840 &lt;/RepeatBlock-By&gt;}{\rtlch\fcs1 \af0 \ltrch\fcs0 \insrsid7283918\charrsid14699840 _x000d__x000a_\par }\pard\plain \ltrpar\s18\ql \li0\ri0\nowidctlpar\wrapdefault\aspalpha\aspnum\faauto\adjustright\rin0\lin0\itap0\pararsid7283918 \rtlch\fcs1 \af0\afs20\alang1025 \ltrch\fcs0 \b\fs24\lang2057\langfe2057\cgrid\langnp2057\langfenp2057 {\rtlch\fcs1 \af0 _x000d__x000a_\ltrch\fcs0 \cs15\b0\v\f1\fs20\cf9\insrsid7283918\charrsid12784134 &lt;DocAmend&gt;}{\rtlch\fcs1 \af0 \ltrch\fcs0 \insrsid7283918\charrsid12784134 [}{\rtlch\fcs1 \af0 \ltrch\fcs0 \insrsid7283918 ZAMDOC}{\rtlch\fcs1 \af0 \ltrch\fcs0 _x000d__x000a_\insrsid7283918\charrsid12784134 ]}{\rtlch\fcs1 \af0 \ltrch\fcs0 \cs15\b0\v\f1\fs20\cf9\insrsid7283918\charrsid12784134 &lt;/DocAmend&gt;}{\rtlch\fcs1 \af0 \ltrch\fcs0 \insrsid7283918\charrsid12784134 _x000d__x000a_\par }\pard \ltrpar\s18\ql \li0\ri0\keepn\nowidctlpar\wrapdefault\aspalpha\aspnum\faauto\adjustright\rin0\lin0\itap0\pararsid7283918 {\rtlch\fcs1 \af0 \ltrch\fcs0 \cs15\b0\v\f1\fs20\cf9\insrsid7283918\charrsid12784134 &lt;Article&gt;}{\rtlch\fcs1 \af0 \ltrch\fcs0 _x000d__x000a_\insrsid7283918\charrsid12784134 [ZAMPART]}{\rtlch\fcs1 \af0 \ltrch\fcs0 \cs15\b0\v\f1\fs20\cf9\insrsid7283918\charrsid12784134 &lt;/Article&gt;}{\rtlch\fcs1 \af0 \ltrch\fcs0 \insrsid7283918\charrsid12784134 _x000d__x000a_\par }\pard\plain \ltrpar\ql \li0\ri0\keepn\widctlpar\wrapdefault\aspalpha\aspnum\faauto\adjustright\rin0\lin0\itap0\pararsid7283918 \rtlch\fcs1 \af0\afs20\alang1025 \ltrch\fcs0 \fs24\lang2057\langfe2057\cgrid\langnp2057\langfenp2057 {\rtlch\fcs1 \af0 _x000d__x000a_\ltrch\fcs0 \cs15\v\f1\fs20\cf9\insrsid7283918\charrsid12784134 &lt;DocAmend2&gt;&lt;OptDel&gt;}{\rtlch\fcs1 \af0 \ltrch\fcs0 \insrsid7283918\charrsid12784134 [ZNRACT]}{\rtlch\fcs1 \af0 \ltrch\fcs0 \cs15\v\f1\fs20\cf9\insrsid7283918\charrsid12784134 _x000d__x000a_&lt;/OptDel&gt;&lt;/DocAmend2&gt;}{\rtlch\fcs1 \af0 \ltrch\fcs0 \insrsid7283918\charrsid12784134 _x000d__x000a_\par }\pard \ltrpar\ql \li0\ri0\widctlpar\wrapdefault\aspalpha\aspnum\faauto\adjustright\rin0\lin0\itap0\pararsid7283918 {\rtlch\fcs1 \af0 \ltrch\fcs0 \cs15\v\f1\fs20\cf9\insrsid7283918\charrsid12784134 &lt;Article2&gt;&lt;OptDel&gt;}{\rtlch\fcs1 \af0 \ltrch\fcs0 _x000d__x000a_\insrsid7283918\charrsid12784134 [ZACTPART]}{\rtlch\fcs1 \af0 \ltrch\fcs0 \cs15\v\f1\fs20\cf9\insrsid7283918\charrsid12784134 &lt;/OptDel&gt;&lt;/Article2&gt;}{\rtlch\fcs1 \af0 \ltrch\fcs0 \insrsid7283918\charrsid12784134 _x000d__x000a_\par \ltrrow}\trowd \irow0\irowband0\ltrrow\ts11\trqc\trgaph340\trleft-340\trftsWidth3\trwWidth9752\trftsWidthB3\trftsWidthA3\trpaddl340\trpaddr340\trpaddfl3\trpaddfr3\tblind0\tblindtype3 \clvertalt\clbrdrt\brdrtbl \clbrdrl\brdrtbl \clbrdrb\brdrtbl \clbrdrr_x000d__x000a_\brdrtbl \cltxlrtb\clftsWidth3\clwWidth9752\clshdrawnil \cellx9412\pard \ltrpar\ql \li0\ri0\keepn\widctlpar\intbl\wrapdefault\aspalpha\aspnum\faauto\adjustright\rin0\lin0\pararsid4786594 {\rtlch\fcs1 \af0 \ltrch\fcs0 \insrsid7283918\charrsid12784134 _x000d__x000a_\cell }\pard \ltrpar\ql \li0\ri0\widctlpar\intbl\wrapdefault\aspalpha\aspnum\faauto\adjustright\rin0\lin0 {\rtlch\fcs1 \af0 \ltrch\fcs0 \insrsid7283918\charrsid12784134 \trowd \irow0\irowband0\ltrrow_x000d__x000a_\ts11\trqc\trgaph340\trleft-340\trftsWidth3\trwWidth9752\trftsWidthB3\trftsWidthA3\trpaddl340\trpaddr340\trpaddfl3\trpaddfr3\tblind0\tblindtype3 \clvertalt\clbrdrt\brdrtbl \clbrdrl\brdrtbl \clbrdrb\brdrtbl \clbrdrr\brdrtbl _x000d__x000a_\cltxlrtb\clftsWidth3\clwWidth9752\clshdrawnil \cellx9412\row \ltrrow}\trowd \irow1\irowband1\ltrrow\ts11\trqc\trgaph340\trleft-340\trftsWidth3\trwWidth9752\trftsWidthB3\trftsWidthA3\trpaddl340\trpaddr340\trpaddfl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4786594 \rtlch\fcs1 \af0\afs20\alang1025 \ltrch\fcs0 \i\fs24\lang2057\langfe2057\cgrid\langnp2057\langfenp2057 {_x000d__x000a_\rtlch\fcs1 \af0 \ltrch\fcs0 \insrsid7283918\charrsid12784134 [ZLEFTB]\cell [ZRIGHT]\cell }\pard\plain \ltrpar\ql \li0\ri0\widctlpar\intbl\wrapdefault\aspalpha\aspnum\faauto\adjustright\rin0\lin0 \rtlch\fcs1 \af0\afs20\alang1025 \ltrch\fcs0 _x000d__x000a_\fs24\lang2057\langfe2057\cgrid\langnp2057\langfenp2057 {\rtlch\fcs1 \af0 \ltrch\fcs0 \insrsid7283918\charrsid12784134 \trowd \irow1\irowband1\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7283918\charrsid12784134 [ZTEXTL]\cell }\pard \ltrpar\s16\ql \li0\ri0\sa120\nowidctlpar\intbl\wrapdefault\aspalpha\aspnum\faauto\adjustright\rin0\lin0\pararsid4786594 {\rtlch\fcs1 \af0 \ltrch\fcs0 \insrsid7283918\charrsid12784134 [ZTEXTR]}{_x000d__x000a_\rtlch\fcs1 \af0\afs24 \ltrch\fcs0 \insrsid7283918\charrsid12784134 \cell }\pard\plain \ltrpar\ql \li0\ri0\widctlpar\intbl\wrapdefault\aspalpha\aspnum\faauto\adjustright\rin0\lin0 \rtlch\fcs1 \af0\afs20\alang1025 \ltrch\fcs0 _x000d__x000a_\fs24\lang2057\langfe2057\cgrid\langnp2057\langfenp2057 {\rtlch\fcs1 \af0 \ltrch\fcs0 \insrsid7283918\charrsid12784134 \trowd \irow2\irowband2\lastrow \ltrrow_x000d__x000a_\ts11\trqc\trgaph340\trleft-340\trftsWidth3\trwWidth9752\trftsWidthB3\trftsWidthA3\trpaddl340\trpaddr340\trpaddfl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7283918 \rtlch\fcs1 \af0\afs20\alang1025 \ltrch\fcs0 \fs24\lang1024\langfe1024\cgrid\noproof\langnp2057\langfenp2057 {\rtlch\fcs1 \af0 _x000d__x000a_\ltrch\fcs0 \noproof0\insrsid7283918\charrsid12784134 Or. }{\rtlch\fcs1 \af0 \ltrch\fcs0 \cs15\v\f1\fs20\cf9\noproof0\insrsid7283918\charrsid12784134 &lt;Original&gt;}{\rtlch\fcs1 \af0 \ltrch\fcs0 \noproof0\insrsid7283918\charrsid12784134 [ZORLANG]}{_x000d__x000a_\rtlch\fcs1 \af0 \ltrch\fcs0 \cs15\v\f1\fs20\cf9\noproof0\insrsid7283918\charrsid12784134 &lt;/Original&gt;}{\rtlch\fcs1 \af0 \ltrch\fcs0 \noproof0\insrsid7283918\charrsid12784134 _x000d__x000a_\par }\pard\plain \ltrpar\s21\qc \li0\ri0\sb240\nowidctlpar\wrapdefault\aspalpha\aspnum\faauto\adjustright\rin0\lin0\itap0\pararsid7283918 \rtlch\fcs1 \af0\afs20\alang1025 \ltrch\fcs0 \i\fs24\lang2057\langfe2057\cgrid\langnp2057\langfenp2057 {\rtlch\fcs1 \af0 _x000d__x000a_\ltrch\fcs0 \cs15\i0\v\f1\fs20\cf9\insrsid7283918\charrsid12784134 &lt;OptDel&gt;}{\rtlch\fcs1 \af0 \ltrch\fcs0 \insrsid7283918\charrsid12784134 [ZCROSSREF]}{\rtlch\fcs1 \af0 \ltrch\fcs0 \cs15\i0\v\f1\fs20\cf9\insrsid7283918\charrsid12784134 &lt;/OptDel&gt;}{_x000d__x000a_\rtlch\fcs1 \af0 \ltrch\fcs0 \insrsid7283918\charrsid12784134 _x000d__x000a_\par }\pard\plain \ltrpar\s22\qc \li0\ri0\sb240\sa240\keepn\nowidctlpar\wrapdefault\aspalpha\aspnum\faauto\adjustright\rin0\lin0\itap0\pararsid7283918 \rtlch\fcs1 \af0\afs20\alang1025 \ltrch\fcs0 _x000d__x000a_\i\fs24\lang1024\langfe1024\cgrid\noproof\langnp2057\langfenp2057 {\rtlch\fcs1 \af0 \ltrch\fcs0 \cs15\i0\v\f1\fs20\cf9\noproof0\insrsid7283918\charrsid12784134 &lt;TitreJust&gt;}{\rtlch\fcs1 \af0 \ltrch\fcs0 \noproof0\insrsid7283918\charrsid12784134 _x000d__x000a_[ZJUSTIFICATION]}{\rtlch\fcs1 \af0 \ltrch\fcs0 \cs15\i0\v\f1\fs20\cf9\noproof0\insrsid7283918\charrsid12784134 &lt;/TitreJust&gt;}{\rtlch\fcs1 \af0 \ltrch\fcs0 \noproof0\insrsid7283918\charrsid12784134 _x000d__x000a_\par }\pard\plain \ltrpar\s20\ql \li0\ri0\sa240\nowidctlpar\wrapdefault\aspalpha\aspnum\faauto\adjustright\rin0\lin0\itap0\pararsid7283918 \rtlch\fcs1 \af0\afs20\alang1025 \ltrch\fcs0 \i\fs24\lang1024\langfe1024\cgrid\noproof\langnp2057\langfenp2057 {_x000d__x000a_\rtlch\fcs1 \af0 \ltrch\fcs0 \cs15\i0\v\f1\fs20\cf9\noproof0\insrsid7283918\charrsid12784134 &lt;OptDelPrev&gt;}{\rtlch\fcs1 \af0 \ltrch\fcs0 \noproof0\insrsid7283918\charrsid12784134 [ZTEXTJUST]}{\rtlch\fcs1 \af0 \ltrch\fcs0 _x000d__x000a_\cs15\i0\v\f1\fs20\cf9\noproof0\insrsid7283918\charrsid12784134 &lt;/OptDelPrev&gt;}{\rtlch\fcs1 \af0 \ltrch\fcs0 \noproof0\insrsid7283918\charrsid12784134 _x000d__x000a_\par }\pard\plain \ltrpar\ql \li0\ri0\widctlpar\wrapdefault\aspalpha\aspnum\faauto\adjustright\rin0\lin0\itap0\pararsid7283918 \rtlch\fcs1 \af0\afs20\alang1025 \ltrch\fcs0 \fs24\lang2057\langfe2057\cgrid\langnp2057\langfenp2057 {\rtlch\fcs1 \af0 \ltrch\fcs0 _x000d__x000a_\cs15\v\f1\fs20\cf9\insrsid7283918\charrsid1278413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52_x000d__x000a_8595c581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s>
  <w:rsids>
    <w:rsidRoot w:val="00CD27ED"/>
    <w:rsid w:val="003F1B38"/>
    <w:rsid w:val="00CD27ED"/>
    <w:rsid w:val="00EC3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B77D00-ADFD-4D96-877E-8B1DFB4A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MNumberTabs">
    <w:name w:val="AMNumberTabs"/>
    <w:basedOn w:val="Normln"/>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color w:val="000000"/>
    </w:rPr>
  </w:style>
  <w:style w:type="paragraph" w:styleId="Textbubliny">
    <w:name w:val="Balloon Text"/>
    <w:basedOn w:val="Normln"/>
    <w:link w:val="TextbublinyChar"/>
    <w:rsid w:val="00D7732B"/>
    <w:rPr>
      <w:rFonts w:ascii="Tahoma" w:hAnsi="Tahoma" w:cs="Tahoma"/>
      <w:sz w:val="16"/>
      <w:szCs w:val="16"/>
    </w:rPr>
  </w:style>
  <w:style w:type="character" w:customStyle="1" w:styleId="TextbublinyChar">
    <w:name w:val="Text bubliny Char"/>
    <w:basedOn w:val="Standardnpsmoodstavce"/>
    <w:link w:val="Textbubliny"/>
    <w:rsid w:val="00D7732B"/>
    <w:rPr>
      <w:rFonts w:ascii="Tahoma" w:hAnsi="Tahoma" w:cs="Tahoma"/>
      <w:sz w:val="16"/>
      <w:szCs w:val="16"/>
    </w:rPr>
  </w:style>
  <w:style w:type="character" w:customStyle="1" w:styleId="BalloonTextChar0">
    <w:name w:val="Balloon Text Char_0"/>
    <w:basedOn w:val="Standardnpsmoodstavce"/>
    <w:link w:val="BalloonText0"/>
    <w:rsid w:val="00D7732B"/>
    <w:rPr>
      <w:rFonts w:ascii="Tahoma" w:hAnsi="Tahoma" w:cs="Tahoma"/>
      <w:sz w:val="16"/>
      <w:szCs w:val="16"/>
    </w:rPr>
  </w:style>
  <w:style w:type="paragraph" w:customStyle="1" w:styleId="BalloonText0">
    <w:name w:val="Balloon Text_0"/>
    <w:basedOn w:val="Normln"/>
    <w:link w:val="BalloonTextChar0"/>
    <w:rsid w:val="00D7732B"/>
    <w:rPr>
      <w:rFonts w:ascii="Tahoma" w:hAnsi="Tahoma" w:cs="Tahoma"/>
      <w:sz w:val="16"/>
      <w:szCs w:val="16"/>
    </w:rPr>
  </w:style>
  <w:style w:type="character" w:customStyle="1" w:styleId="Bold">
    <w:name w:val="Bold"/>
    <w:uiPriority w:val="1"/>
    <w:qFormat/>
    <w:rsid w:val="001F3CAD"/>
    <w:rPr>
      <w:rFonts w:ascii="Times New Roman" w:hAnsi="Times New Roman"/>
      <w:b/>
      <w:sz w:val="24"/>
      <w:lang w:val="fr-FR"/>
    </w:rPr>
  </w:style>
  <w:style w:type="character" w:customStyle="1" w:styleId="BoldItalic">
    <w:name w:val="BoldItalic"/>
    <w:uiPriority w:val="1"/>
    <w:qFormat/>
    <w:rsid w:val="00BF36FD"/>
    <w:rPr>
      <w:rFonts w:ascii="Times New Roman" w:hAnsi="Times New Roman"/>
      <w:b/>
      <w:i/>
      <w:sz w:val="24"/>
    </w:rPr>
  </w:style>
  <w:style w:type="paragraph" w:customStyle="1" w:styleId="Center">
    <w:name w:val="Center"/>
    <w:pPr>
      <w:spacing w:after="120"/>
      <w:jc w:val="center"/>
    </w:pPr>
    <w:rPr>
      <w:color w:val="000000"/>
    </w:rPr>
  </w:style>
  <w:style w:type="paragraph" w:customStyle="1" w:styleId="ColumnHeading">
    <w:name w:val="ColumnHeading"/>
    <w:basedOn w:val="Normln"/>
    <w:pPr>
      <w:spacing w:after="240"/>
      <w:jc w:val="center"/>
    </w:pPr>
    <w:rPr>
      <w:i/>
      <w:color w:val="000000"/>
    </w:rPr>
  </w:style>
  <w:style w:type="paragraph" w:customStyle="1" w:styleId="Cover24">
    <w:name w:val="Cover24"/>
    <w:pPr>
      <w:spacing w:after="480"/>
      <w:ind w:left="1418"/>
    </w:pPr>
    <w:rPr>
      <w:color w:val="000000"/>
      <w:sz w:val="24"/>
      <w:szCs w:val="24"/>
    </w:rPr>
  </w:style>
  <w:style w:type="paragraph" w:customStyle="1" w:styleId="CoverBold">
    <w:name w:val="CoverBold"/>
    <w:pPr>
      <w:ind w:left="1418"/>
    </w:pPr>
    <w:rPr>
      <w:b/>
      <w:color w:val="000000"/>
      <w:sz w:val="24"/>
      <w:szCs w:val="24"/>
    </w:rPr>
  </w:style>
  <w:style w:type="paragraph" w:customStyle="1" w:styleId="CoverNormal">
    <w:name w:val="CoverNormal"/>
    <w:basedOn w:val="Normln"/>
    <w:pPr>
      <w:ind w:left="1418"/>
    </w:pPr>
    <w:rPr>
      <w:color w:val="000000"/>
    </w:rPr>
  </w:style>
  <w:style w:type="paragraph" w:customStyle="1" w:styleId="CrossRef">
    <w:name w:val="CrossRef"/>
    <w:pPr>
      <w:spacing w:before="240"/>
      <w:jc w:val="center"/>
    </w:pPr>
    <w:rPr>
      <w:i/>
      <w:color w:val="000000"/>
      <w:sz w:val="24"/>
    </w:rPr>
  </w:style>
  <w:style w:type="character" w:customStyle="1" w:styleId="DefaultParagraphFont0">
    <w:name w:val="Default Paragraph Font_0"/>
    <w:uiPriority w:val="1"/>
    <w:semiHidden/>
    <w:unhideWhenUsed/>
  </w:style>
  <w:style w:type="paragraph" w:customStyle="1" w:styleId="EPLogo">
    <w:name w:val="EPLogo"/>
    <w:basedOn w:val="Normln"/>
    <w:qFormat/>
    <w:rsid w:val="00D7732B"/>
    <w:pPr>
      <w:widowControl w:val="0"/>
      <w:jc w:val="right"/>
    </w:pPr>
    <w:rPr>
      <w:szCs w:val="20"/>
    </w:rPr>
  </w:style>
  <w:style w:type="paragraph" w:customStyle="1" w:styleId="EPName">
    <w:name w:val="EPName"/>
    <w:basedOn w:val="Normln"/>
    <w:rsid w:val="00D7732B"/>
    <w:pPr>
      <w:widowControl w:val="0"/>
      <w:spacing w:before="80" w:after="80"/>
    </w:pPr>
    <w:rPr>
      <w:rFonts w:ascii="Arial Narrow" w:hAnsi="Arial Narrow" w:cs="Arial"/>
      <w:b/>
      <w:color w:val="000000"/>
      <w:sz w:val="32"/>
      <w:szCs w:val="22"/>
    </w:rPr>
  </w:style>
  <w:style w:type="paragraph" w:customStyle="1" w:styleId="EPTerm">
    <w:name w:val="EPTerm"/>
    <w:basedOn w:val="Normln"/>
    <w:next w:val="Normln"/>
    <w:rsid w:val="00D7732B"/>
    <w:pPr>
      <w:widowControl w:val="0"/>
      <w:spacing w:after="80"/>
    </w:pPr>
    <w:rPr>
      <w:rFonts w:ascii="Arial" w:hAnsi="Arial" w:cs="Arial"/>
      <w:sz w:val="20"/>
      <w:szCs w:val="22"/>
      <w:lang w:val="fr-FR"/>
    </w:rPr>
  </w:style>
  <w:style w:type="character" w:customStyle="1" w:styleId="FootNoteMarker">
    <w:name w:val="FootNoteMarker"/>
    <w:rPr>
      <w:color w:val="000000"/>
      <w:vertAlign w:val="superscript"/>
    </w:rPr>
  </w:style>
  <w:style w:type="paragraph" w:styleId="Zpat">
    <w:name w:val="footer"/>
    <w:rsid w:val="00EC60CE"/>
    <w:pPr>
      <w:tabs>
        <w:tab w:val="center" w:pos="4536"/>
        <w:tab w:val="right" w:pos="9072"/>
      </w:tabs>
    </w:pPr>
    <w:rPr>
      <w:color w:val="000000"/>
      <w:sz w:val="22"/>
      <w:szCs w:val="24"/>
    </w:rPr>
  </w:style>
  <w:style w:type="paragraph" w:customStyle="1" w:styleId="Footer1">
    <w:name w:val="Footer1"/>
    <w:pPr>
      <w:tabs>
        <w:tab w:val="center" w:pos="4536"/>
        <w:tab w:val="right" w:pos="9072"/>
      </w:tabs>
      <w:spacing w:before="240" w:after="240" w:line="220" w:lineRule="auto"/>
    </w:pPr>
    <w:rPr>
      <w:color w:val="000000"/>
      <w:sz w:val="22"/>
      <w:szCs w:val="24"/>
    </w:rPr>
  </w:style>
  <w:style w:type="paragraph" w:customStyle="1" w:styleId="Footer2">
    <w:name w:val="Footer2"/>
    <w:rsid w:val="00A801F5"/>
    <w:pPr>
      <w:tabs>
        <w:tab w:val="center" w:pos="4535"/>
        <w:tab w:val="right" w:pos="9923"/>
      </w:tabs>
      <w:spacing w:after="240"/>
      <w:ind w:left="-851"/>
    </w:pPr>
    <w:rPr>
      <w:rFonts w:ascii="Arial" w:eastAsia="Arial" w:hAnsi="Arial" w:cs="Arial"/>
      <w:b/>
      <w:color w:val="000000"/>
      <w:sz w:val="48"/>
      <w:szCs w:val="24"/>
    </w:rPr>
  </w:style>
  <w:style w:type="paragraph" w:customStyle="1" w:styleId="Footer2Landscape">
    <w:name w:val="Footer2Landscape"/>
    <w:qFormat/>
    <w:rsid w:val="00126EF9"/>
    <w:pPr>
      <w:tabs>
        <w:tab w:val="center" w:pos="4535"/>
        <w:tab w:val="center" w:pos="6804"/>
        <w:tab w:val="center" w:pos="13608"/>
      </w:tabs>
      <w:spacing w:after="240"/>
      <w:ind w:left="-851"/>
    </w:pPr>
    <w:rPr>
      <w:rFonts w:ascii="Arial" w:eastAsia="Arial" w:hAnsi="Arial" w:cs="Arial"/>
      <w:b/>
      <w:color w:val="000000"/>
      <w:sz w:val="48"/>
      <w:szCs w:val="24"/>
    </w:rPr>
  </w:style>
  <w:style w:type="character" w:customStyle="1" w:styleId="Footer2Middle">
    <w:name w:val="Footer2Middle"/>
    <w:rPr>
      <w:rFonts w:ascii="Arial" w:eastAsia="Arial" w:hAnsi="Arial" w:cs="Arial"/>
      <w:b w:val="0"/>
      <w:i/>
      <w:color w:val="C0C0C0"/>
      <w:sz w:val="22"/>
    </w:rPr>
  </w:style>
  <w:style w:type="paragraph" w:customStyle="1" w:styleId="FooterLandscape">
    <w:name w:val="FooterLandscape"/>
    <w:qFormat/>
    <w:rsid w:val="00C75EBA"/>
    <w:pPr>
      <w:tabs>
        <w:tab w:val="center" w:pos="6804"/>
        <w:tab w:val="center" w:pos="13608"/>
      </w:tabs>
    </w:pPr>
    <w:rPr>
      <w:color w:val="000000"/>
      <w:sz w:val="22"/>
      <w:szCs w:val="24"/>
    </w:rPr>
  </w:style>
  <w:style w:type="character" w:customStyle="1" w:styleId="HideTWBExt">
    <w:name w:val="HideTWBExt"/>
    <w:basedOn w:val="Standardnpsmoodstavce"/>
    <w:rPr>
      <w:rFonts w:ascii="Arial" w:eastAsia="Arial" w:hAnsi="Arial" w:cs="Arial"/>
      <w:b w:val="0"/>
      <w:i w:val="0"/>
      <w:caps w:val="0"/>
      <w:vanish/>
      <w:color w:val="000080"/>
      <w:sz w:val="20"/>
    </w:rPr>
  </w:style>
  <w:style w:type="character" w:customStyle="1" w:styleId="HideTWBInt">
    <w:name w:val="HideTWBInt"/>
    <w:basedOn w:val="Standardnpsmoodstavce"/>
    <w:rPr>
      <w:b w:val="0"/>
      <w:caps w:val="0"/>
      <w:vanish/>
      <w:color w:val="808080"/>
      <w:sz w:val="24"/>
    </w:rPr>
  </w:style>
  <w:style w:type="character" w:customStyle="1" w:styleId="Italic">
    <w:name w:val="Italic"/>
    <w:uiPriority w:val="1"/>
    <w:qFormat/>
    <w:rsid w:val="004576CA"/>
    <w:rPr>
      <w:rFonts w:ascii="Times New Roman" w:hAnsi="Times New Roman"/>
      <w:i/>
      <w:sz w:val="24"/>
    </w:rPr>
  </w:style>
  <w:style w:type="paragraph" w:customStyle="1" w:styleId="JustificationTitle">
    <w:name w:val="JustificationTitle"/>
    <w:pPr>
      <w:keepNext/>
      <w:spacing w:before="240" w:after="240"/>
      <w:jc w:val="center"/>
    </w:pPr>
    <w:rPr>
      <w:i/>
      <w:color w:val="000000"/>
      <w:sz w:val="24"/>
      <w:szCs w:val="24"/>
    </w:rPr>
  </w:style>
  <w:style w:type="paragraph" w:customStyle="1" w:styleId="LineBottom">
    <w:name w:val="LineBottom"/>
    <w:basedOn w:val="Normln"/>
    <w:next w:val="Normln"/>
    <w:pPr>
      <w:pBdr>
        <w:bottom w:val="single" w:sz="4" w:space="0" w:color="auto"/>
      </w:pBdr>
      <w:spacing w:after="960"/>
      <w:jc w:val="center"/>
    </w:pPr>
    <w:rPr>
      <w:rFonts w:ascii="Arial" w:eastAsia="Arial" w:hAnsi="Arial" w:cs="Arial"/>
      <w:color w:val="000000"/>
      <w:sz w:val="16"/>
    </w:rPr>
  </w:style>
  <w:style w:type="paragraph" w:customStyle="1" w:styleId="LineTop">
    <w:name w:val="LineTop"/>
    <w:basedOn w:val="Normln"/>
    <w:pPr>
      <w:pBdr>
        <w:top w:val="single" w:sz="4" w:space="0" w:color="auto"/>
      </w:pBdr>
      <w:jc w:val="center"/>
    </w:pPr>
    <w:rPr>
      <w:rFonts w:ascii="Arial" w:eastAsia="Arial" w:hAnsi="Arial" w:cs="Arial"/>
      <w:color w:val="000000"/>
      <w:sz w:val="16"/>
    </w:rPr>
  </w:style>
  <w:style w:type="paragraph" w:customStyle="1" w:styleId="NRAMS">
    <w:name w:val="NRAMS"/>
    <w:pPr>
      <w:spacing w:after="480" w:line="460" w:lineRule="auto"/>
      <w:ind w:left="1418"/>
    </w:pPr>
    <w:rPr>
      <w:rFonts w:ascii="Arial" w:eastAsia="Arial" w:hAnsi="Arial" w:cs="Arial"/>
      <w:b/>
      <w:color w:val="000000"/>
      <w:sz w:val="46"/>
      <w:szCs w:val="24"/>
    </w:rPr>
  </w:style>
  <w:style w:type="numbering" w:customStyle="1" w:styleId="NoList0">
    <w:name w:val="No List_0"/>
    <w:next w:val="Bezseznamu"/>
    <w:uiPriority w:val="99"/>
    <w:semiHidden/>
    <w:unhideWhenUsed/>
  </w:style>
  <w:style w:type="paragraph" w:customStyle="1" w:styleId="Normal0">
    <w:name w:val="Normal_0"/>
    <w:next w:val="Normln"/>
    <w:qFormat/>
    <w:rsid w:val="00EC60CE"/>
    <w:rPr>
      <w:sz w:val="24"/>
      <w:szCs w:val="24"/>
    </w:rPr>
  </w:style>
  <w:style w:type="paragraph" w:customStyle="1" w:styleId="Normal12">
    <w:name w:val="Normal12"/>
    <w:basedOn w:val="Normln"/>
    <w:pPr>
      <w:spacing w:after="240"/>
    </w:pPr>
    <w:rPr>
      <w:color w:val="000000"/>
    </w:rPr>
  </w:style>
  <w:style w:type="paragraph" w:customStyle="1" w:styleId="Normal12Italic">
    <w:name w:val="Normal12Italic"/>
    <w:pPr>
      <w:spacing w:after="240"/>
    </w:pPr>
    <w:rPr>
      <w:i/>
      <w:color w:val="000000"/>
      <w:sz w:val="24"/>
      <w:szCs w:val="24"/>
    </w:rPr>
  </w:style>
  <w:style w:type="paragraph" w:customStyle="1" w:styleId="Normal12a12b">
    <w:name w:val="Normal12a12b"/>
    <w:basedOn w:val="Normln"/>
    <w:pPr>
      <w:spacing w:before="240" w:after="240"/>
    </w:pPr>
    <w:rPr>
      <w:color w:val="000000"/>
    </w:rPr>
  </w:style>
  <w:style w:type="paragraph" w:customStyle="1" w:styleId="Normal24">
    <w:name w:val="Normal24"/>
    <w:basedOn w:val="Normln"/>
    <w:pPr>
      <w:spacing w:after="480"/>
    </w:pPr>
    <w:rPr>
      <w:color w:val="000000"/>
    </w:rPr>
  </w:style>
  <w:style w:type="paragraph" w:customStyle="1" w:styleId="Normal6">
    <w:name w:val="Normal6"/>
    <w:basedOn w:val="Normln"/>
    <w:pPr>
      <w:spacing w:after="120"/>
    </w:pPr>
    <w:rPr>
      <w:color w:val="000000"/>
    </w:rPr>
  </w:style>
  <w:style w:type="paragraph" w:customStyle="1" w:styleId="Normal6BoldItalic">
    <w:name w:val="Normal6 + Bold Italic"/>
    <w:pPr>
      <w:spacing w:after="120"/>
    </w:pPr>
    <w:rPr>
      <w:b/>
      <w:i/>
      <w:color w:val="000000"/>
      <w:sz w:val="24"/>
      <w:szCs w:val="24"/>
    </w:rPr>
  </w:style>
  <w:style w:type="paragraph" w:customStyle="1" w:styleId="Normal6Center">
    <w:name w:val="Normal6 + Center"/>
    <w:qFormat/>
    <w:rsid w:val="00276AA4"/>
    <w:pPr>
      <w:spacing w:after="120"/>
      <w:jc w:val="center"/>
    </w:pPr>
    <w:rPr>
      <w:b/>
      <w:i/>
      <w:color w:val="000000"/>
      <w:sz w:val="24"/>
      <w:szCs w:val="24"/>
    </w:rPr>
  </w:style>
  <w:style w:type="paragraph" w:customStyle="1" w:styleId="Normal6Italic">
    <w:name w:val="Normal6Italic"/>
    <w:basedOn w:val="Normln"/>
    <w:pPr>
      <w:spacing w:after="120"/>
    </w:pPr>
    <w:rPr>
      <w:i/>
      <w:color w:val="000000"/>
    </w:rPr>
  </w:style>
  <w:style w:type="character" w:customStyle="1" w:styleId="Normal6RomanBI">
    <w:name w:val="Normal6RomanBI"/>
    <w:rPr>
      <w:rFonts w:ascii="Times New Roman" w:eastAsia="Times New Roman" w:hAnsi="Times New Roman" w:cs="Times New Roman"/>
      <w:b/>
      <w:i/>
      <w:color w:val="000000"/>
      <w:sz w:val="24"/>
    </w:rPr>
  </w:style>
  <w:style w:type="paragraph" w:customStyle="1" w:styleId="NormalBold">
    <w:name w:val="NormalBold"/>
    <w:basedOn w:val="Normln"/>
    <w:rPr>
      <w:b/>
      <w:color w:val="000000"/>
    </w:rPr>
  </w:style>
  <w:style w:type="paragraph" w:customStyle="1" w:styleId="NormalBold12b">
    <w:name w:val="NormalBold12b"/>
    <w:basedOn w:val="Normln"/>
    <w:pPr>
      <w:spacing w:before="240"/>
    </w:pPr>
    <w:rPr>
      <w:b/>
      <w:color w:val="000000"/>
    </w:rPr>
  </w:style>
  <w:style w:type="paragraph" w:customStyle="1" w:styleId="Olang">
    <w:name w:val="Olang"/>
    <w:pPr>
      <w:spacing w:before="240" w:after="240"/>
      <w:jc w:val="right"/>
    </w:pPr>
    <w:rPr>
      <w:color w:val="000000"/>
      <w:sz w:val="24"/>
      <w:szCs w:val="24"/>
    </w:rPr>
  </w:style>
  <w:style w:type="paragraph" w:customStyle="1" w:styleId="RefPE">
    <w:name w:val="RefPE"/>
    <w:basedOn w:val="Normln"/>
    <w:rsid w:val="00A92086"/>
    <w:pPr>
      <w:spacing w:after="240"/>
      <w:jc w:val="right"/>
    </w:pPr>
    <w:rPr>
      <w:rFonts w:ascii="Arial" w:hAnsi="Arial"/>
      <w:b/>
    </w:rPr>
  </w:style>
  <w:style w:type="paragraph" w:customStyle="1" w:styleId="RefProc">
    <w:name w:val="RefProc"/>
    <w:basedOn w:val="Normln"/>
    <w:rsid w:val="00905F0C"/>
    <w:pPr>
      <w:spacing w:after="240"/>
      <w:jc w:val="right"/>
    </w:pPr>
    <w:rPr>
      <w:rFonts w:ascii="Arial Bold" w:eastAsia="Arial" w:hAnsi="Arial Bold" w:cs="Arial"/>
      <w:b/>
      <w:color w:val="000000"/>
      <w:sz w:val="22"/>
    </w:rPr>
  </w:style>
  <w:style w:type="paragraph" w:customStyle="1" w:styleId="StyleNormalBoldNotBold">
    <w:name w:val="Style NormalBold + Not Bold"/>
    <w:rPr>
      <w:color w:val="000000"/>
      <w:sz w:val="24"/>
      <w:szCs w:val="24"/>
    </w:rPr>
  </w:style>
  <w:style w:type="character" w:customStyle="1" w:styleId="Sub">
    <w:name w:val="Sub"/>
    <w:rPr>
      <w:color w:val="000000"/>
      <w:vertAlign w:val="subscript"/>
    </w:rPr>
  </w:style>
  <w:style w:type="character" w:customStyle="1" w:styleId="SubBold">
    <w:name w:val="SubBold"/>
    <w:rPr>
      <w:b/>
      <w:color w:val="000000"/>
      <w:vertAlign w:val="subscript"/>
    </w:rPr>
  </w:style>
  <w:style w:type="character" w:customStyle="1" w:styleId="SubBoldItalic">
    <w:name w:val="SubBoldItalic"/>
    <w:rPr>
      <w:b/>
      <w:i/>
      <w:color w:val="000000"/>
      <w:vertAlign w:val="subscript"/>
    </w:rPr>
  </w:style>
  <w:style w:type="character" w:customStyle="1" w:styleId="SubItalic">
    <w:name w:val="SubItalic"/>
    <w:rPr>
      <w:i/>
      <w:color w:val="000000"/>
      <w:vertAlign w:val="subscript"/>
    </w:rPr>
  </w:style>
  <w:style w:type="character" w:customStyle="1" w:styleId="Sup">
    <w:name w:val="Sup"/>
    <w:rPr>
      <w:color w:val="000000"/>
      <w:vertAlign w:val="superscript"/>
    </w:rPr>
  </w:style>
  <w:style w:type="character" w:customStyle="1" w:styleId="SupBold">
    <w:name w:val="SupBold"/>
    <w:rPr>
      <w:b/>
      <w:color w:val="000000"/>
      <w:vertAlign w:val="superscript"/>
    </w:rPr>
  </w:style>
  <w:style w:type="character" w:customStyle="1" w:styleId="SupBoldItalic">
    <w:name w:val="SupBoldItalic"/>
    <w:rPr>
      <w:b/>
      <w:i/>
      <w:color w:val="000000"/>
      <w:vertAlign w:val="superscript"/>
    </w:rPr>
  </w:style>
  <w:style w:type="character" w:customStyle="1" w:styleId="SupItalic">
    <w:name w:val="SupItalic"/>
    <w:rPr>
      <w:i/>
      <w:color w:val="000000"/>
      <w:vertAlign w:val="superscript"/>
    </w:rPr>
  </w:style>
  <w:style w:type="table" w:customStyle="1" w:styleId="TableNormal0">
    <w:name w:val="Table Normal_0"/>
    <w:next w:val="Normlntabulka"/>
    <w:uiPriority w:val="99"/>
    <w:semiHidden/>
    <w:unhideWhenUsed/>
    <w:tblPr>
      <w:tblInd w:w="0" w:type="dxa"/>
      <w:tblCellMar>
        <w:top w:w="0" w:type="dxa"/>
        <w:left w:w="108" w:type="dxa"/>
        <w:bottom w:w="0" w:type="dxa"/>
        <w:right w:w="108" w:type="dxa"/>
      </w:tblCellMar>
    </w:tblPr>
  </w:style>
  <w:style w:type="paragraph" w:customStyle="1" w:styleId="TypeDocAM">
    <w:name w:val="TypeDocAM"/>
    <w:basedOn w:val="Normln"/>
    <w:pPr>
      <w:ind w:left="1418"/>
    </w:pPr>
    <w:rPr>
      <w:rFonts w:ascii="Arial" w:eastAsia="Arial" w:hAnsi="Arial" w:cs="Arial"/>
      <w:b/>
      <w:color w:val="000000"/>
      <w:sz w:val="48"/>
    </w:rPr>
  </w:style>
  <w:style w:type="character" w:customStyle="1" w:styleId="Underline">
    <w:name w:val="Underline"/>
    <w:uiPriority w:val="1"/>
    <w:qFormat/>
    <w:rsid w:val="001F3CAD"/>
    <w:rPr>
      <w:rFonts w:ascii="Times New Roman" w:hAnsi="Times New Roman"/>
      <w:sz w:val="24"/>
      <w:u w:val="single"/>
    </w:rPr>
  </w:style>
  <w:style w:type="paragraph" w:customStyle="1" w:styleId="ZCommittee">
    <w:name w:val="ZCommittee"/>
    <w:basedOn w:val="Normln"/>
    <w:next w:val="Normln"/>
    <w:pPr>
      <w:spacing w:line="220" w:lineRule="auto"/>
      <w:jc w:val="center"/>
    </w:pPr>
    <w:rPr>
      <w:rFonts w:ascii="Arial" w:eastAsia="Arial" w:hAnsi="Arial" w:cs="Arial"/>
      <w:i/>
      <w:color w:val="000000"/>
      <w:sz w:val="22"/>
    </w:rPr>
  </w:style>
  <w:style w:type="paragraph" w:customStyle="1" w:styleId="ZDate">
    <w:name w:val="ZDate"/>
    <w:basedOn w:val="Normln"/>
    <w:pPr>
      <w:spacing w:after="16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7617</Words>
  <Characters>44947</Characters>
  <Application>Microsoft Office Word</Application>
  <DocSecurity>0</DocSecurity>
  <Lines>374</Lines>
  <Paragraphs>104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AM_Com_LegOpinion</vt:lpstr>
      <vt:lpstr/>
    </vt:vector>
  </TitlesOfParts>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AM_Com_LegOpinion</dc:title>
  <dc:creator>e-Parliament@europarl.europa.eu</dc:creator>
  <cp:lastModifiedBy>Jan</cp:lastModifiedBy>
  <cp:revision>2</cp:revision>
  <dcterms:created xsi:type="dcterms:W3CDTF">2019-04-03T13:57:00Z</dcterms:created>
  <dcterms:modified xsi:type="dcterms:W3CDTF">2019-04-03T13:57:00Z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FR</vt:lpwstr>
  </property>
  <property fmtid="{D5CDD505-2E9C-101B-9397-08002B2CF9AE}" pid="3" name="&lt;FdR&gt;">
    <vt:lpwstr>1174109</vt:lpwstr>
  </property>
  <property fmtid="{D5CDD505-2E9C-101B-9397-08002B2CF9AE}" pid="4" name="&lt;Model&gt;">
    <vt:lpwstr>AM_Com_LegOpinion</vt:lpwstr>
  </property>
  <property fmtid="{D5CDD505-2E9C-101B-9397-08002B2CF9AE}" pid="5" name="&lt;Type&gt;">
    <vt:lpwstr>AM</vt:lpwstr>
  </property>
  <property fmtid="{D5CDD505-2E9C-101B-9397-08002B2CF9AE}" pid="6" name="DMXMLUID">
    <vt:lpwstr>20190205-104613-000463-840475</vt:lpwstr>
  </property>
  <property fmtid="{D5CDD505-2E9C-101B-9397-08002B2CF9AE}" pid="7" name="FooterPath">
    <vt:lpwstr>AM\1174109FR.docx</vt:lpwstr>
  </property>
  <property fmtid="{D5CDD505-2E9C-101B-9397-08002B2CF9AE}" pid="8" name="PE Number">
    <vt:lpwstr>632.937</vt:lpwstr>
  </property>
  <property fmtid="{D5CDD505-2E9C-101B-9397-08002B2CF9AE}" pid="9" name="UID">
    <vt:lpwstr>eu.europa.europarl-DIN1-2019-0000003542_01.01-fr-01.00_text-xml</vt:lpwstr>
  </property>
</Properties>
</file>