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  <w:lang w:val="cs-CZ"/>
        </w:rPr>
        <w:t xml:space="preserve">FAVMPa080 Akademické čtení a psaní. </w:t>
      </w:r>
    </w:p>
    <w:p>
      <w:pPr>
        <w:pStyle w:val="Normal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  <w:lang w:val="cs-CZ"/>
        </w:rPr>
        <w:t>Alexandra Plakhova</w:t>
      </w:r>
    </w:p>
    <w:p>
      <w:pPr>
        <w:pStyle w:val="Normal"/>
        <w:jc w:val="both"/>
        <w:rPr>
          <w:lang w:val="cs-CZ"/>
        </w:rPr>
      </w:pPr>
      <w:r>
        <w:rPr>
          <w:rFonts w:ascii="Liberation Serif" w:hAnsi="Liberation Serif"/>
          <w:color w:val="auto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  <w:lang w:val="cs-CZ"/>
        </w:rPr>
        <w:t xml:space="preserve">HELLER, Sabine. Below-the-line creativity and authorship in animation: the reality of animation production. </w:t>
      </w:r>
      <w:r>
        <w:rPr>
          <w:rFonts w:ascii="Liberation Serif" w:hAnsi="Liberation Serif"/>
          <w:i/>
          <w:iCs/>
          <w:color w:val="auto"/>
          <w:sz w:val="24"/>
          <w:szCs w:val="24"/>
          <w:lang w:val="cs-CZ"/>
        </w:rPr>
        <w:t>Revue française des sciences de l’information et de la communication</w:t>
      </w:r>
      <w:r>
        <w:rPr>
          <w:rFonts w:ascii="Liberation Serif" w:hAnsi="Liberation Serif"/>
          <w:color w:val="auto"/>
          <w:sz w:val="24"/>
          <w:szCs w:val="24"/>
          <w:lang w:val="cs-CZ"/>
        </w:rPr>
        <w:t xml:space="preserve">, </w:t>
      </w:r>
      <w:r>
        <w:rPr>
          <w:rFonts w:ascii="Liberation Serif" w:hAnsi="Liberation Serif"/>
          <w:color w:val="auto"/>
          <w:sz w:val="24"/>
          <w:szCs w:val="24"/>
          <w:lang w:val="cs-CZ"/>
        </w:rPr>
        <w:t>č. 18, 2019.</w:t>
      </w:r>
    </w:p>
    <w:p>
      <w:pPr>
        <w:pStyle w:val="Normal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color w:val="auto"/>
          <w:sz w:val="24"/>
          <w:szCs w:val="24"/>
          <w:lang w:val="cs-CZ"/>
        </w:rPr>
        <w:t xml:space="preserve">Vliv počítačové 3D animace na audiovizuální kulturu nejde podcenit. Potkáváme se s touto technologií v hraných a animovaných filmech, hudebních klipech, počítačových hrách atd. Za mnohahodinovým zážitkem, který nám poskytuje kupříkladu svět </w:t>
      </w:r>
      <w:r>
        <w:rPr>
          <w:rFonts w:ascii="Liberation Serif" w:hAnsi="Liberation Serif"/>
          <w:i/>
          <w:iCs/>
          <w:color w:val="auto"/>
          <w:sz w:val="24"/>
          <w:szCs w:val="24"/>
          <w:lang w:val="cs-CZ"/>
        </w:rPr>
        <w:t>Zaklínače</w:t>
      </w:r>
      <w:r>
        <w:rPr>
          <w:rFonts w:ascii="Liberation Serif" w:hAnsi="Liberation Serif"/>
          <w:color w:val="auto"/>
          <w:sz w:val="24"/>
          <w:szCs w:val="24"/>
          <w:lang w:val="cs-CZ"/>
        </w:rPr>
        <w:t xml:space="preserve"> nebo </w:t>
      </w:r>
      <w:r>
        <w:rPr>
          <w:rFonts w:ascii="Liberation Serif" w:hAnsi="Liberation Serif"/>
          <w:i/>
          <w:iCs/>
          <w:color w:val="auto"/>
          <w:sz w:val="24"/>
          <w:szCs w:val="24"/>
          <w:lang w:val="cs-CZ"/>
        </w:rPr>
        <w:t xml:space="preserve">Pána prstenů 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>stojí však mnoholetá práce odborníků, jež denně pracovali na jeho realizaci. Sabine Hellerovou zajímá problém autorství a kreativního přínosu tzv. BTL („below-the-line“) pracovníků. Tím se myslí pracovníci spíš technického zaměření, vykonavatelé cizího záměru, jež údajně nemohou podstatným způsobem přispět k umělecké podobě projektu. Autorka hodlá odhalit za jakých osobních postojů těchto pracovníků ke koncepci autorství a kreativity probíhá výrobní proces animovaného filmu v amerických studiích. Pracuje s výpověďmi animátorů a tzv. character technical directorů. Tací by měli být schopní jak v technické stránce věci, tak i v umělecké a zároveň by především měli usnadňovat práce ostatním členům týmu. Podle Hellerové jsou BTL pracovníci ve mnoha ohledech ovlivnění tradičním chápáním autorství, již pochází z romantického období zbožňování individuálního talentu géniů. Současně tvrdí, že to jde v rozporu se skutečnými požadavky při produkci 3D animovaných filmů.</w:t>
      </w:r>
    </w:p>
    <w:p>
      <w:pPr>
        <w:pStyle w:val="Normal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>Text se vyznačuje velmi srozumitelným slohem a samotné téma je bezesporu zajímavé. Avšak upozorním na skutečnost, že jsou některé závěry zjednodušeny. S mnoha tezemi lze totiž polemizovat. V odstavci č. 1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>0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 xml:space="preserve"> se objevuje myšlenka, že se praxe animátorů a herců v něčem shoduje, neboť je v obou případech spojená s výsledným výkonem postav. U CT direktorů uvádí autorka určitý stupeň inovativnosti spíš při řešení technických problémů a odděluje tak technickou kreativitu od umělecké.  Z nejasných důvodu se neřeší otázka prolínání obou druhů kreativity, k němuž v případě tvorby filmu často dochází právě na straně pracovníků „above-the-line“ (režisér, herce, scénárista). Není také úplně jasné, proč nepracuje autorka s herním průmyslem jakožto referenčním rámcem, jenž přece stojí na principu týmové práce. Místo toho srovnává míru kreativity a projevy individualismu u animátorů (jež pracují v týmu) a malířů (jež většinou pracují sami). Zkomplikovat problém by pomohlo obracení se k japonskému animovanému průmyslu (anime; i když se nejedná většinou o 3D animace), v němž zpravidla dochází k tomu, že se stovky animátorů řídí vizuálním stylem autora předlohy (mangy). Nedostatečně přesvědčivě vysvětluje autorka své řešení odmítnout studiový přístup k autorství. Nakonec za hlavní problém považuji skutečnost, že se autorka v rozhovorech omezuje na určitý „slušný“ typ otázek a nepřenáší výzkum do širší společenské roviny.</w:t>
      </w:r>
      <w:r>
        <w:rPr>
          <w:rStyle w:val="FootnoteAnchor"/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footnoteReference w:id="2"/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 xml:space="preserve"> Jak by se vyjadřovali respondenti k autorství v případě tvorby propagandistických snímků? Zdůrazňovala by v tomto kontextu animátorka Ellen v odstavci č. 19 svůj </w:t>
      </w:r>
      <w:r>
        <w:rPr>
          <w:rFonts w:ascii="Liberation Serif" w:hAnsi="Liberation Serif"/>
          <w:i/>
          <w:iCs/>
          <w:color w:val="auto"/>
          <w:sz w:val="24"/>
          <w:szCs w:val="24"/>
          <w:lang w:val="cs-CZ"/>
        </w:rPr>
        <w:t xml:space="preserve">personální 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 xml:space="preserve">(nenahraditelný?) podíl na některých scénách? Jinou možností by bylo vztáhnout téma k praktikám totálního týmového autorství, jak tomu je v případě OpenSource technologií, kdy se autorem může stát v podstatě kdokoliv. Žádnou z nabídnutých možností, jak by se dalo zkomplikovat problém a přijít s originálnějšími závěry, autorka nevyužila. Zároveň si myslím, že kdybych toto téma zpracovala já, dopustila bych se opačné chyby, tedy, že bych výzkumný záběr příliš rozšířila. </w:t>
      </w:r>
    </w:p>
    <w:p>
      <w:pPr>
        <w:pStyle w:val="Normal"/>
        <w:jc w:val="both"/>
        <w:rPr>
          <w:i w:val="false"/>
          <w:i w:val="false"/>
          <w:iCs w:val="false"/>
          <w:lang w:val="cs-CZ"/>
        </w:rPr>
      </w:pPr>
      <w:r>
        <w:rPr>
          <w:rFonts w:ascii="Liberation Serif" w:hAnsi="Liberation Serif"/>
          <w:color w:val="auto"/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 xml:space="preserve">WIEDEMANN, Dieter, TENNERT, Falk. Children‘s television in the GDR. </w:t>
      </w:r>
      <w:r>
        <w:rPr>
          <w:rFonts w:ascii="Liberation Serif" w:hAnsi="Liberation Serif"/>
          <w:i/>
          <w:iCs/>
          <w:color w:val="auto"/>
          <w:sz w:val="24"/>
          <w:szCs w:val="24"/>
          <w:lang w:val="cs-CZ"/>
        </w:rPr>
        <w:t>Historical Journal of Film, Radio and Television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>, roč. 24, č. 3, 2004, s. 427 – 440.</w:t>
      </w:r>
    </w:p>
    <w:p>
      <w:pPr>
        <w:pStyle w:val="Normal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 xml:space="preserve">Autoři se ve svém textu věnují dějinám televizního vysíláni pro děti a mládež v NDR. V první části práce zasazuji dětskou produkci do historického kontextu a poukazují na základní strukturní a personální proměny této instituce, jež byly 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>neustále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 xml:space="preserve"> ve větší či menší míře ovlivněny politickými a ekonomickými faktory. Zároveň zdůrazňují edukativní a ideologickou funkci tvorby pro děti, která také měla velký vliv na obsah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>ové změny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 xml:space="preserve"> programu. Zatím považují vývoj tohoto odvětví za relativně stabilní. Dynamiku dílčích změn zpřehledňuje druhá část práce zaměřená na kvantitativní analýzu dramaturgie a způsobu nasazení dětských pořadů do televizního programu. Nejvýrazněj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>i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 xml:space="preserve"> způsobem se to projevilo v otázce věkové kategorie publika (v 50. a 60. letech, které lze označit za období jakéhosi experimentování, cílovou skupinu převážně tvořily starší děti, zatímco se v dalších  desetiletích program zaměřoval spíš na ty mladší). Co se týká žánrové různorodosti, poukazují na docela vysokou popularitu domácí fikční produkce 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>oproti nonfikční produkci</w:t>
      </w:r>
      <w:r>
        <w:rPr>
          <w:rFonts w:ascii="Liberation Serif" w:hAnsi="Liberation Serif"/>
          <w:i w:val="false"/>
          <w:iCs w:val="false"/>
          <w:color w:val="auto"/>
          <w:sz w:val="24"/>
          <w:szCs w:val="24"/>
          <w:lang w:val="cs-CZ"/>
        </w:rPr>
        <w:t xml:space="preserve"> v podobě pohádek a animovaných filmů. Spolu se stále zvyšujícím se počtem diváků tato skutečnost dovoluje autorům označit dětský televizní průmysl v NDR za poměrně zdařilý z hlediska kreativní a organizační práce. </w:t>
      </w:r>
    </w:p>
    <w:p>
      <w:pPr>
        <w:pStyle w:val="Normal"/>
        <w:jc w:val="both"/>
        <w:rPr>
          <w:i w:val="false"/>
          <w:i w:val="false"/>
          <w:iCs w:val="false"/>
          <w:lang w:val="cs-CZ"/>
        </w:rPr>
      </w:pPr>
      <w:r>
        <w:rPr>
          <w:rFonts w:ascii="Liberation Serif" w:hAnsi="Liberation Serif"/>
          <w:color w:val="auto"/>
          <w:sz w:val="24"/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  <w:lang w:val="cs-CZ"/>
        </w:rPr>
      </w:pPr>
      <w:r>
        <w:rPr>
          <w:rFonts w:ascii="Liberation Serif" w:hAnsi="Liberation Serif"/>
          <w:color w:val="auto"/>
          <w:sz w:val="24"/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  <w:lang w:val="cs-CZ"/>
        </w:rPr>
      </w:pPr>
      <w:r>
        <w:rPr>
          <w:rFonts w:ascii="Liberation Serif" w:hAnsi="Liberation Serif"/>
          <w:color w:val="auto"/>
          <w:sz w:val="24"/>
          <w:szCs w:val="24"/>
        </w:rPr>
      </w:r>
    </w:p>
    <w:sectPr>
      <w:footnotePr>
        <w:numFmt w:val="decimal"/>
      </w:footnote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>
          <w:lang w:val="cs-CZ"/>
        </w:rPr>
      </w:pPr>
      <w:r>
        <w:rPr>
          <w:rStyle w:val="FootnoteCharacters"/>
        </w:rPr>
        <w:footnoteRef/>
      </w:r>
      <w:r>
        <w:rPr>
          <w:lang w:val="cs-CZ"/>
        </w:rPr>
        <w:tab/>
        <w:t xml:space="preserve">V souvislosti s touto problematikou viz </w:t>
      </w:r>
      <w:r>
        <w:rPr>
          <w:rFonts w:ascii="Liberation Serif" w:hAnsi="Liberation Serif"/>
          <w:lang w:val="cs-CZ"/>
        </w:rPr>
        <w:t>BARTEN, Egbert.</w:t>
      </w:r>
      <w:r>
        <w:rPr>
          <w:rFonts w:ascii="Liberation Serif" w:hAnsi="Liberation Serif"/>
          <w:b w:val="false"/>
          <w:bCs w:val="false"/>
          <w:color w:val="0A0A0A"/>
          <w:sz w:val="20"/>
          <w:szCs w:val="22"/>
          <w:lang w:val="cs-CZ"/>
        </w:rPr>
        <w:t xml:space="preserve"> Dutch Anti-Semitic Colour Animation in World War II: Robert Van Genechten`s Van Den Vos Reynaerde (1943).</w:t>
      </w:r>
      <w:r>
        <w:rPr>
          <w:rFonts w:ascii="Liberation Serif" w:hAnsi="Liberation Serif"/>
          <w:b w:val="false"/>
          <w:bCs w:val="false"/>
          <w:i/>
          <w:iCs/>
          <w:color w:val="0A0A0A"/>
          <w:sz w:val="20"/>
          <w:szCs w:val="22"/>
          <w:lang w:val="cs-CZ"/>
        </w:rPr>
        <w:t xml:space="preserve"> Historical Journal of Film, Radio and Television</w:t>
      </w:r>
      <w:r>
        <w:rPr>
          <w:rFonts w:ascii="Liberation Serif" w:hAnsi="Liberation Serif"/>
          <w:b w:val="false"/>
          <w:bCs w:val="false"/>
          <w:i w:val="false"/>
          <w:iCs w:val="false"/>
          <w:color w:val="0A0A0A"/>
          <w:sz w:val="20"/>
          <w:szCs w:val="22"/>
          <w:lang w:val="cs-CZ"/>
        </w:rPr>
        <w:t>, roč. 31, č. 1,</w:t>
      </w:r>
      <w:r>
        <w:rPr>
          <w:rFonts w:ascii="Liberation Serif" w:hAnsi="Liberation Serif"/>
          <w:b w:val="false"/>
          <w:bCs w:val="false"/>
          <w:i/>
          <w:iCs/>
          <w:color w:val="0A0A0A"/>
          <w:sz w:val="20"/>
          <w:szCs w:val="22"/>
          <w:lang w:val="cs-CZ"/>
        </w:rPr>
        <w:t xml:space="preserve"> s</w:t>
      </w:r>
      <w:r>
        <w:rPr>
          <w:rFonts w:ascii="Liberation Serif" w:hAnsi="Liberation Serif"/>
          <w:b w:val="false"/>
          <w:bCs w:val="false"/>
          <w:color w:val="0A0A0A"/>
          <w:sz w:val="20"/>
          <w:szCs w:val="22"/>
          <w:lang w:val="cs-CZ"/>
        </w:rPr>
        <w:t xml:space="preserve">. 1-41, </w:t>
      </w:r>
      <w:r>
        <w:rPr>
          <w:rFonts w:ascii="Liberation Serif" w:hAnsi="Liberation Serif"/>
          <w:b w:val="false"/>
          <w:bCs w:val="false"/>
          <w:color w:val="0A0A0A"/>
          <w:sz w:val="20"/>
          <w:szCs w:val="22"/>
          <w:lang w:val="cs-CZ"/>
        </w:rPr>
        <w:t xml:space="preserve">z toho zejména s. 8 – 10, s. 17. </w:t>
      </w:r>
    </w:p>
  </w:footnote>
</w:footnotes>
</file>

<file path=word/settings.xml><?xml version="1.0" encoding="utf-8"?>
<w:settings xmlns:w="http://schemas.openxmlformats.org/wordprocessingml/2006/main">
  <w:zoom w:percent="9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LibreOffice/6.2.7.1$Linux_X86_64 LibreOffice_project/20$Build-1</Application>
  <Pages>2</Pages>
  <Words>756</Words>
  <Characters>4479</Characters>
  <CharactersWithSpaces>5235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2020-04-24T21:00:54Z</dcterms:created>
  <dc:creator/>
  <dc:description/>
  <dc:language>en-US</dc:language>
  <cp:lastModifiedBy/>
  <dcterms:modified xsi:type="dcterms:W3CDTF">2020-04-25T12:07:26Z</dcterms:modified>
  <cp:revision>3</cp:revision>
  <dc:subject/>
  <dc:title/>
</cp:coreProperties>
</file>