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43" w:rsidRDefault="006A5743" w:rsidP="006A5743">
      <w:r>
        <w:rPr>
          <w:b/>
          <w:bCs/>
        </w:rPr>
        <w:t>Vypravěčská perspektiva</w:t>
      </w:r>
    </w:p>
    <w:p w:rsidR="006A5743" w:rsidRDefault="006A5743" w:rsidP="006A5743"/>
    <w:p w:rsidR="006A5743" w:rsidRDefault="006A5743" w:rsidP="006A5743">
      <w:pPr>
        <w:pStyle w:val="Nadpis1"/>
        <w:rPr>
          <w:b w:val="0"/>
          <w:bCs w:val="0"/>
        </w:rPr>
      </w:pPr>
      <w:proofErr w:type="spellStart"/>
      <w:r>
        <w:t>Gérard</w:t>
      </w:r>
      <w:proofErr w:type="spellEnd"/>
      <w:r>
        <w:t xml:space="preserve"> </w:t>
      </w:r>
      <w:proofErr w:type="spellStart"/>
      <w:r>
        <w:t>Genette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  <w:i/>
          <w:iCs/>
        </w:rPr>
        <w:t>Figures</w:t>
      </w:r>
      <w:proofErr w:type="spellEnd"/>
      <w:r>
        <w:rPr>
          <w:b w:val="0"/>
          <w:bCs w:val="0"/>
        </w:rPr>
        <w:t xml:space="preserve">, </w:t>
      </w:r>
      <w:r>
        <w:rPr>
          <w:b w:val="0"/>
          <w:bCs w:val="0"/>
          <w:i/>
          <w:iCs/>
        </w:rPr>
        <w:t xml:space="preserve">Nouveau </w:t>
      </w:r>
      <w:proofErr w:type="spellStart"/>
      <w:r>
        <w:rPr>
          <w:b w:val="0"/>
          <w:bCs w:val="0"/>
          <w:i/>
          <w:iCs/>
        </w:rPr>
        <w:t>dicours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du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récit</w:t>
      </w:r>
      <w:proofErr w:type="spellEnd"/>
      <w:r>
        <w:rPr>
          <w:b w:val="0"/>
          <w:bCs w:val="0"/>
        </w:rPr>
        <w:t>)</w:t>
      </w:r>
    </w:p>
    <w:p w:rsidR="006A5743" w:rsidRDefault="006A5743" w:rsidP="006A5743"/>
    <w:p w:rsidR="006A5743" w:rsidRDefault="006A5743" w:rsidP="006A5743">
      <w:r>
        <w:t>kategorie „hlasu“ (</w:t>
      </w:r>
      <w:proofErr w:type="spellStart"/>
      <w:r>
        <w:t>voix</w:t>
      </w:r>
      <w:proofErr w:type="spellEnd"/>
      <w:r>
        <w:t>) a „osoby“ (</w:t>
      </w:r>
      <w:proofErr w:type="spellStart"/>
      <w:r>
        <w:t>personne</w:t>
      </w:r>
      <w:proofErr w:type="spellEnd"/>
      <w:r>
        <w:t>) – „kdo mluví“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2498"/>
        <w:gridCol w:w="1699"/>
      </w:tblGrid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ROVINA</w:t>
            </w:r>
          </w:p>
          <w:p w:rsidR="006A5743" w:rsidRDefault="006A5743" w:rsidP="007B6829">
            <w:r>
              <w:rPr>
                <w:b/>
                <w:bCs/>
              </w:rPr>
              <w:t>VZTAH</w:t>
            </w:r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extradiegetická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intradiegetická</w:t>
            </w:r>
            <w:proofErr w:type="spellEnd"/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heterodiegetický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r>
              <w:t>Homér</w:t>
            </w:r>
          </w:p>
        </w:tc>
        <w:tc>
          <w:tcPr>
            <w:tcW w:w="0" w:type="auto"/>
          </w:tcPr>
          <w:p w:rsidR="006A5743" w:rsidRDefault="006A5743" w:rsidP="007B6829">
            <w:r>
              <w:t>Šeherezáda</w:t>
            </w:r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homodiegetický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roofErr w:type="spellStart"/>
            <w:r>
              <w:t>Gil</w:t>
            </w:r>
            <w:proofErr w:type="spellEnd"/>
            <w:r>
              <w:t xml:space="preserve"> </w:t>
            </w:r>
            <w:proofErr w:type="spellStart"/>
            <w:r>
              <w:t>Blas</w:t>
            </w:r>
            <w:proofErr w:type="spellEnd"/>
            <w:r>
              <w:t xml:space="preserve">; </w:t>
            </w:r>
            <w:proofErr w:type="spellStart"/>
            <w:r>
              <w:t>Proust</w:t>
            </w:r>
            <w:proofErr w:type="spellEnd"/>
            <w:r>
              <w:t xml:space="preserve"> (Marcel)</w:t>
            </w:r>
          </w:p>
        </w:tc>
        <w:tc>
          <w:tcPr>
            <w:tcW w:w="0" w:type="auto"/>
          </w:tcPr>
          <w:p w:rsidR="006A5743" w:rsidRDefault="006A5743" w:rsidP="007B6829">
            <w:r>
              <w:t>Odysseus</w:t>
            </w:r>
          </w:p>
        </w:tc>
      </w:tr>
    </w:tbl>
    <w:p w:rsidR="006A5743" w:rsidRDefault="006A5743" w:rsidP="006A5743"/>
    <w:p w:rsidR="006A5743" w:rsidRDefault="006A5743" w:rsidP="006A5743">
      <w:r>
        <w:t xml:space="preserve">kategorie </w:t>
      </w:r>
      <w:proofErr w:type="gramStart"/>
      <w:r>
        <w:t>osoby  (mode</w:t>
      </w:r>
      <w:proofErr w:type="gramEnd"/>
      <w:r>
        <w:t>) – „kdo vidí“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194"/>
        <w:gridCol w:w="2304"/>
        <w:gridCol w:w="2183"/>
      </w:tblGrid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FOKALIZACE</w:t>
            </w:r>
          </w:p>
          <w:p w:rsidR="006A5743" w:rsidRDefault="006A5743" w:rsidP="007B6829">
            <w:pPr>
              <w:rPr>
                <w:b/>
                <w:bCs/>
              </w:rPr>
            </w:pPr>
          </w:p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VYPRÁVĚNÍ</w:t>
            </w:r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nulová </w:t>
            </w:r>
            <w:proofErr w:type="spellStart"/>
            <w:r>
              <w:rPr>
                <w:b/>
                <w:bCs/>
              </w:rPr>
              <w:t>fokalizace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interní </w:t>
            </w:r>
            <w:proofErr w:type="spellStart"/>
            <w:r>
              <w:rPr>
                <w:b/>
                <w:bCs/>
              </w:rPr>
              <w:t>fokalizace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externí </w:t>
            </w:r>
            <w:proofErr w:type="spellStart"/>
            <w:r>
              <w:rPr>
                <w:b/>
                <w:bCs/>
              </w:rPr>
              <w:t>fokalizace</w:t>
            </w:r>
            <w:proofErr w:type="spellEnd"/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heterodiegetické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Pr>
              <w:rPr>
                <w:i/>
                <w:iCs/>
              </w:rPr>
            </w:pPr>
            <w:r>
              <w:t xml:space="preserve">Balzac: </w:t>
            </w:r>
            <w:r>
              <w:rPr>
                <w:i/>
                <w:iCs/>
              </w:rPr>
              <w:t xml:space="preserve">Otec </w:t>
            </w:r>
            <w:proofErr w:type="spellStart"/>
            <w:r>
              <w:rPr>
                <w:i/>
                <w:iCs/>
              </w:rPr>
              <w:t>Goriot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roofErr w:type="spellStart"/>
            <w:r>
              <w:t>Woolf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K majáku</w:t>
            </w:r>
          </w:p>
        </w:tc>
        <w:tc>
          <w:tcPr>
            <w:tcW w:w="0" w:type="auto"/>
          </w:tcPr>
          <w:p w:rsidR="006A5743" w:rsidRDefault="006A5743" w:rsidP="007B6829">
            <w:proofErr w:type="spellStart"/>
            <w:r>
              <w:t>Robbe-Grillet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Gumy</w:t>
            </w:r>
          </w:p>
          <w:p w:rsidR="006A5743" w:rsidRDefault="006A5743" w:rsidP="007B6829">
            <w:pPr>
              <w:rPr>
                <w:i/>
                <w:iCs/>
              </w:rPr>
            </w:pPr>
            <w:proofErr w:type="spellStart"/>
            <w:r>
              <w:t>Hemingway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Zabijáci</w:t>
            </w:r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homodiegetické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roofErr w:type="spellStart"/>
            <w:r>
              <w:t>Melville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Bílá velryba</w:t>
            </w:r>
          </w:p>
          <w:p w:rsidR="006A5743" w:rsidRDefault="006A5743" w:rsidP="007B6829">
            <w:proofErr w:type="spellStart"/>
            <w:r>
              <w:t>Proust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Pr>
              <w:rPr>
                <w:i/>
                <w:iCs/>
              </w:rPr>
            </w:pPr>
            <w:proofErr w:type="spellStart"/>
            <w:r>
              <w:t>Chandler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Phil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Marlow</w:t>
            </w:r>
            <w:proofErr w:type="spellEnd"/>
          </w:p>
        </w:tc>
        <w:tc>
          <w:tcPr>
            <w:tcW w:w="0" w:type="auto"/>
          </w:tcPr>
          <w:p w:rsidR="006A5743" w:rsidRDefault="006A5743" w:rsidP="007B6829">
            <w:pPr>
              <w:rPr>
                <w:i/>
                <w:iCs/>
              </w:rPr>
            </w:pPr>
            <w:proofErr w:type="spellStart"/>
            <w:r>
              <w:t>Camus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Cizinec</w:t>
            </w:r>
          </w:p>
        </w:tc>
      </w:tr>
    </w:tbl>
    <w:p w:rsidR="006A5743" w:rsidRDefault="006A5743" w:rsidP="006A5743"/>
    <w:p w:rsidR="006A5743" w:rsidRDefault="006A5743" w:rsidP="006A5743"/>
    <w:p w:rsidR="006A5743" w:rsidRDefault="006A5743" w:rsidP="006A5743"/>
    <w:p w:rsidR="006A5743" w:rsidRDefault="006A5743" w:rsidP="006A5743"/>
    <w:p w:rsidR="006A5743" w:rsidRDefault="006A5743" w:rsidP="006A5743">
      <w:pPr>
        <w:rPr>
          <w:b/>
          <w:bCs/>
        </w:rPr>
      </w:pPr>
      <w:r>
        <w:rPr>
          <w:b/>
          <w:bCs/>
        </w:rPr>
        <w:t xml:space="preserve">Lubomír Doležel </w:t>
      </w:r>
      <w:r>
        <w:t>(</w:t>
      </w:r>
      <w:r>
        <w:rPr>
          <w:i/>
          <w:iCs/>
        </w:rPr>
        <w:t>Narativní způsoby v české literatuře</w:t>
      </w:r>
      <w:r>
        <w:t>)</w:t>
      </w:r>
    </w:p>
    <w:p w:rsidR="006A5743" w:rsidRDefault="006A5743" w:rsidP="006A5743">
      <w:r>
        <w:t xml:space="preserve"> - v textu lze identifikovat dva druhy promluvy: </w:t>
      </w:r>
      <w:r>
        <w:rPr>
          <w:b/>
          <w:bCs/>
        </w:rPr>
        <w:t>pásmo vypravěče a pásmo postav</w:t>
      </w:r>
    </w:p>
    <w:p w:rsidR="006A5743" w:rsidRDefault="006A5743" w:rsidP="006A5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1348"/>
        <w:gridCol w:w="1074"/>
        <w:gridCol w:w="1448"/>
        <w:gridCol w:w="686"/>
      </w:tblGrid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Funkce</w:t>
            </w:r>
          </w:p>
          <w:p w:rsidR="006A5743" w:rsidRDefault="006A5743" w:rsidP="007B6829">
            <w:pPr>
              <w:rPr>
                <w:b/>
                <w:bCs/>
                <w:caps/>
              </w:rPr>
            </w:pPr>
          </w:p>
          <w:p w:rsidR="006A5743" w:rsidRDefault="006A5743" w:rsidP="007B6829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Vypravěčský</w:t>
            </w:r>
          </w:p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>způsob</w:t>
            </w:r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konstrukční</w:t>
            </w:r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kontrolní</w:t>
            </w:r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interpretační</w:t>
            </w:r>
          </w:p>
        </w:tc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akční</w:t>
            </w:r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objektivní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-</w:t>
            </w:r>
          </w:p>
        </w:tc>
        <w:tc>
          <w:tcPr>
            <w:tcW w:w="0" w:type="auto"/>
          </w:tcPr>
          <w:p w:rsidR="006A5743" w:rsidRDefault="006A5743" w:rsidP="007B6829">
            <w:r>
              <w:t>-</w:t>
            </w:r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rétorický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-</w:t>
            </w:r>
          </w:p>
        </w:tc>
      </w:tr>
      <w:tr w:rsidR="006A5743" w:rsidTr="007B682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A5743" w:rsidRDefault="006A5743" w:rsidP="007B6829">
            <w:pPr>
              <w:rPr>
                <w:b/>
                <w:bCs/>
              </w:rPr>
            </w:pPr>
            <w:r>
              <w:rPr>
                <w:b/>
                <w:bCs/>
              </w:rPr>
              <w:t>subjektivní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  <w:tc>
          <w:tcPr>
            <w:tcW w:w="0" w:type="auto"/>
          </w:tcPr>
          <w:p w:rsidR="006A5743" w:rsidRDefault="006A5743" w:rsidP="007B6829">
            <w:r>
              <w:t>+</w:t>
            </w:r>
          </w:p>
        </w:tc>
      </w:tr>
    </w:tbl>
    <w:p w:rsidR="006A5743" w:rsidRDefault="006A5743" w:rsidP="006A5743"/>
    <w:p w:rsidR="006A5743" w:rsidRDefault="006A5743" w:rsidP="006A5743"/>
    <w:p w:rsidR="006A5743" w:rsidRDefault="006A5743" w:rsidP="006A5743">
      <w:pPr>
        <w:pStyle w:val="Nadpis1"/>
      </w:pPr>
      <w:r>
        <w:t>Typologie vyprávění</w:t>
      </w:r>
    </w:p>
    <w:p w:rsidR="006A5743" w:rsidRDefault="006A5743" w:rsidP="006A5743">
      <w:pPr>
        <w:sectPr w:rsidR="006A57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5743" w:rsidRDefault="006A5743" w:rsidP="006A5743">
      <w:r>
        <w:lastRenderedPageBreak/>
        <w:t xml:space="preserve">rétorická </w:t>
      </w:r>
      <w:proofErr w:type="spellStart"/>
      <w:r>
        <w:t>er</w:t>
      </w:r>
      <w:proofErr w:type="spellEnd"/>
      <w:r>
        <w:t xml:space="preserve">-forma </w:t>
      </w:r>
    </w:p>
    <w:p w:rsidR="006A5743" w:rsidRDefault="006A5743" w:rsidP="006A5743">
      <w:r>
        <w:t xml:space="preserve">subjektivní </w:t>
      </w:r>
      <w:proofErr w:type="spellStart"/>
      <w:r>
        <w:t>er</w:t>
      </w:r>
      <w:proofErr w:type="spellEnd"/>
      <w:r>
        <w:t>-forma</w:t>
      </w:r>
    </w:p>
    <w:p w:rsidR="006A5743" w:rsidRDefault="006A5743" w:rsidP="006A5743">
      <w:r>
        <w:t xml:space="preserve">objektivní </w:t>
      </w:r>
      <w:proofErr w:type="spellStart"/>
      <w:r>
        <w:t>er</w:t>
      </w:r>
      <w:proofErr w:type="spellEnd"/>
      <w:r>
        <w:t>-forma</w:t>
      </w:r>
    </w:p>
    <w:p w:rsidR="006A5743" w:rsidRDefault="006A5743" w:rsidP="006A5743"/>
    <w:p w:rsidR="006A5743" w:rsidRDefault="006A5743" w:rsidP="006A5743">
      <w:r>
        <w:lastRenderedPageBreak/>
        <w:t xml:space="preserve">objektivní </w:t>
      </w:r>
      <w:proofErr w:type="spellStart"/>
      <w:r>
        <w:t>ich</w:t>
      </w:r>
      <w:proofErr w:type="spellEnd"/>
      <w:r>
        <w:t>-forma</w:t>
      </w:r>
    </w:p>
    <w:p w:rsidR="006A5743" w:rsidRDefault="006A5743" w:rsidP="006A5743">
      <w:r>
        <w:t xml:space="preserve">rétorická </w:t>
      </w:r>
      <w:proofErr w:type="spellStart"/>
      <w:r>
        <w:t>ich</w:t>
      </w:r>
      <w:proofErr w:type="spellEnd"/>
      <w:r>
        <w:t>-forma</w:t>
      </w:r>
    </w:p>
    <w:p w:rsidR="006A5743" w:rsidRDefault="006A5743" w:rsidP="006A5743">
      <w:r>
        <w:t xml:space="preserve">osobní </w:t>
      </w:r>
      <w:proofErr w:type="spellStart"/>
      <w:r>
        <w:t>ich</w:t>
      </w:r>
      <w:proofErr w:type="spellEnd"/>
      <w:r>
        <w:t>-forma</w:t>
      </w:r>
    </w:p>
    <w:p w:rsidR="006A5743" w:rsidRDefault="006A5743" w:rsidP="006A5743">
      <w:pPr>
        <w:sectPr w:rsidR="006A574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6A5743" w:rsidRDefault="006A5743" w:rsidP="006A5743"/>
    <w:p w:rsidR="006A5743" w:rsidRDefault="006A5743" w:rsidP="006A5743">
      <w:r>
        <w:t>Způsoby vyprávění se mohou kombinovat, prolínat.</w:t>
      </w:r>
    </w:p>
    <w:p w:rsidR="006A5743" w:rsidRDefault="006A5743" w:rsidP="006A5743"/>
    <w:p w:rsidR="009616DE" w:rsidRDefault="009616DE">
      <w:bookmarkStart w:id="0" w:name="_GoBack"/>
      <w:bookmarkEnd w:id="0"/>
    </w:p>
    <w:sectPr w:rsidR="009616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3"/>
    <w:rsid w:val="0064032F"/>
    <w:rsid w:val="006A5743"/>
    <w:rsid w:val="009616DE"/>
    <w:rsid w:val="00D16D5F"/>
    <w:rsid w:val="00D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6A57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pacing w:val="-3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74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J"/>
    <w:basedOn w:val="Normln"/>
    <w:next w:val="Normln"/>
    <w:uiPriority w:val="1"/>
    <w:qFormat/>
    <w:rsid w:val="0064032F"/>
    <w:pPr>
      <w:widowControl/>
      <w:autoSpaceDE/>
      <w:autoSpaceDN/>
      <w:adjustRightInd/>
    </w:pPr>
    <w:rPr>
      <w:rFonts w:eastAsiaTheme="minorHAnsi" w:cstheme="minorBidi"/>
      <w:spacing w:val="0"/>
      <w:szCs w:val="22"/>
      <w:lang w:val="fr-CA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6A5743"/>
    <w:rPr>
      <w:rFonts w:ascii="Times New Roman" w:eastAsiaTheme="minorEastAsia" w:hAnsi="Times New Roman" w:cs="Times New Roman"/>
      <w:b/>
      <w:bCs/>
      <w:spacing w:val="-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6A57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pacing w:val="-3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74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J"/>
    <w:basedOn w:val="Normln"/>
    <w:next w:val="Normln"/>
    <w:uiPriority w:val="1"/>
    <w:qFormat/>
    <w:rsid w:val="0064032F"/>
    <w:pPr>
      <w:widowControl/>
      <w:autoSpaceDE/>
      <w:autoSpaceDN/>
      <w:adjustRightInd/>
    </w:pPr>
    <w:rPr>
      <w:rFonts w:eastAsiaTheme="minorHAnsi" w:cstheme="minorBidi"/>
      <w:spacing w:val="0"/>
      <w:szCs w:val="22"/>
      <w:lang w:val="fr-CA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6A5743"/>
    <w:rPr>
      <w:rFonts w:ascii="Times New Roman" w:eastAsiaTheme="minorEastAsia" w:hAnsi="Times New Roman" w:cs="Times New Roman"/>
      <w:b/>
      <w:bCs/>
      <w:spacing w:val="-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2012-11-10T07:08:00Z</dcterms:created>
  <dcterms:modified xsi:type="dcterms:W3CDTF">2012-11-10T07:09:00Z</dcterms:modified>
</cp:coreProperties>
</file>