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C5004" w14:textId="58675866" w:rsidR="00855DBF" w:rsidRDefault="00705C13">
      <w:proofErr w:type="spellStart"/>
      <w:r>
        <w:t>Scheinselbs</w:t>
      </w:r>
      <w:proofErr w:type="spellEnd"/>
      <w:r>
        <w:rPr>
          <w:lang w:val="en-US"/>
        </w:rPr>
        <w:t>t</w:t>
      </w:r>
      <w:r>
        <w:rPr>
          <w:lang w:val="de-DE"/>
        </w:rPr>
        <w:t>ä</w:t>
      </w:r>
      <w:proofErr w:type="spellStart"/>
      <w:r>
        <w:t>ndi</w:t>
      </w:r>
      <w:r w:rsidR="00543213">
        <w:t>gk</w:t>
      </w:r>
      <w:r>
        <w:t>eit</w:t>
      </w:r>
      <w:proofErr w:type="spellEnd"/>
      <w:r>
        <w:t xml:space="preserve"> – </w:t>
      </w:r>
      <w:proofErr w:type="spellStart"/>
      <w:r>
        <w:t>Kommentar</w:t>
      </w:r>
      <w:proofErr w:type="spellEnd"/>
    </w:p>
    <w:p w14:paraId="73266385" w14:textId="77777777" w:rsidR="00705C13" w:rsidRDefault="00705C13"/>
    <w:tbl>
      <w:tblPr>
        <w:tblW w:w="106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9"/>
        <w:gridCol w:w="5256"/>
      </w:tblGrid>
      <w:tr w:rsidR="00705C13" w:rsidRPr="00705C13" w14:paraId="16DA43A3" w14:textId="77777777" w:rsidTr="00705C13">
        <w:trPr>
          <w:tblCellSpacing w:w="0" w:type="dxa"/>
        </w:trPr>
        <w:tc>
          <w:tcPr>
            <w:tcW w:w="5220" w:type="dxa"/>
            <w:tcBorders>
              <w:top w:val="nil"/>
            </w:tcBorders>
            <w:shd w:val="clear" w:color="auto" w:fill="FFFFFF"/>
            <w:tcMar>
              <w:top w:w="90" w:type="dxa"/>
              <w:left w:w="0" w:type="dxa"/>
              <w:bottom w:w="60" w:type="dxa"/>
              <w:right w:w="105" w:type="dxa"/>
            </w:tcMar>
            <w:hideMark/>
          </w:tcPr>
          <w:p w14:paraId="22C4DCC2" w14:textId="77777777" w:rsidR="00705C13" w:rsidRPr="00705C13" w:rsidRDefault="00705C13" w:rsidP="00705C13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</w:pPr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Nach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eingehender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Untersuchung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der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Auswirkungen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auf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die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Straßensicherheit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die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Wettbewerbsbedingungen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die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Berufsstruktur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und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die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sozialen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Aspekte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hat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die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Folgenabschätzung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ergeben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dass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es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auch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mit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erheblichem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Verwaltungsaufwand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nicht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durchsetzbar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ist</w:t>
            </w:r>
            <w:proofErr w:type="spellEnd"/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unselbständige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und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selbständige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Kraftfahrer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vollständig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einzubeziehen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und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dass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vielmehr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das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Problem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shd w:val="clear" w:color="auto" w:fill="FFFEEF"/>
                <w:lang w:eastAsia="cs-CZ"/>
              </w:rPr>
              <w:t> d</w:t>
            </w:r>
            <w:r w:rsidRPr="00705C13">
              <w:rPr>
                <w:rFonts w:ascii="Arial" w:eastAsia="Times New Roman" w:hAnsi="Arial" w:cs="Arial"/>
                <w:b/>
                <w:bCs/>
                <w:color w:val="242424"/>
                <w:sz w:val="18"/>
                <w:szCs w:val="18"/>
                <w:shd w:val="clear" w:color="auto" w:fill="FFFEEF"/>
                <w:lang w:eastAsia="cs-CZ"/>
              </w:rPr>
              <w:t>e</w:t>
            </w:r>
            <w:r w:rsidRPr="00705C13">
              <w:rPr>
                <w:rFonts w:ascii="Arial" w:eastAsia="Times New Roman" w:hAnsi="Arial" w:cs="Arial"/>
                <w:b/>
                <w:bCs/>
                <w:color w:val="181818"/>
                <w:sz w:val="18"/>
                <w:szCs w:val="18"/>
                <w:shd w:val="clear" w:color="auto" w:fill="FFFCCF"/>
                <w:lang w:eastAsia="cs-CZ"/>
              </w:rPr>
              <w:t>r</w:t>
            </w:r>
            <w:r w:rsidRPr="00705C13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shd w:val="clear" w:color="auto" w:fill="FFFCCF"/>
                <w:lang w:eastAsia="cs-CZ"/>
              </w:rPr>
              <w:t> 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BB8"/>
                <w:lang w:eastAsia="cs-CZ"/>
              </w:rPr>
              <w:t>Scheinselbständigkeit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shd w:val="clear" w:color="auto" w:fill="FFFCCF"/>
                <w:lang w:eastAsia="cs-CZ"/>
              </w:rPr>
              <w:t> 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181818"/>
                <w:sz w:val="18"/>
                <w:szCs w:val="18"/>
                <w:shd w:val="clear" w:color="auto" w:fill="FFFCCF"/>
                <w:lang w:eastAsia="cs-CZ"/>
              </w:rPr>
              <w:t>g</w:t>
            </w:r>
            <w:r w:rsidRPr="00705C13">
              <w:rPr>
                <w:rFonts w:ascii="Arial" w:eastAsia="Times New Roman" w:hAnsi="Arial" w:cs="Arial"/>
                <w:b/>
                <w:bCs/>
                <w:color w:val="242424"/>
                <w:sz w:val="18"/>
                <w:szCs w:val="18"/>
                <w:shd w:val="clear" w:color="auto" w:fill="FFFEEF"/>
                <w:lang w:eastAsia="cs-CZ"/>
              </w:rPr>
              <w:t>e</w:t>
            </w:r>
            <w:r w:rsidRPr="00705C13"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shd w:val="clear" w:color="auto" w:fill="FFFEEF"/>
                <w:lang w:eastAsia="cs-CZ"/>
              </w:rPr>
              <w:t>lö</w:t>
            </w:r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st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werden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müsste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statt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den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Geltungsbereich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der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Richtlinie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auf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die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selbständigen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Kraftfahrer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auszuweiten</w:t>
            </w:r>
            <w:proofErr w:type="spellEnd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>. </w:t>
            </w:r>
          </w:p>
          <w:p w14:paraId="7555B732" w14:textId="77777777" w:rsidR="00705C13" w:rsidRPr="00705C13" w:rsidRDefault="003B6D6A" w:rsidP="00705C13">
            <w:pPr>
              <w:spacing w:after="0" w:line="360" w:lineRule="atLeast"/>
              <w:rPr>
                <w:rFonts w:ascii="Arial" w:eastAsia="Times New Roman" w:hAnsi="Arial" w:cs="Arial"/>
                <w:i/>
                <w:iCs/>
                <w:color w:val="777777"/>
                <w:sz w:val="17"/>
                <w:szCs w:val="17"/>
                <w:lang w:eastAsia="cs-CZ"/>
              </w:rPr>
            </w:pPr>
            <w:hyperlink r:id="rId4" w:tgtFrame="_blank" w:history="1">
              <w:r w:rsidR="00705C13" w:rsidRPr="00705C13">
                <w:rPr>
                  <w:rFonts w:ascii="Arial" w:eastAsia="Times New Roman" w:hAnsi="Arial" w:cs="Arial"/>
                  <w:i/>
                  <w:iCs/>
                  <w:color w:val="777777"/>
                  <w:sz w:val="17"/>
                  <w:szCs w:val="17"/>
                  <w:u w:val="single"/>
                  <w:lang w:eastAsia="cs-CZ"/>
                </w:rPr>
                <w:t>eur-lex.europa.eu</w:t>
              </w:r>
            </w:hyperlink>
          </w:p>
        </w:tc>
        <w:tc>
          <w:tcPr>
            <w:tcW w:w="5100" w:type="dxa"/>
            <w:tcBorders>
              <w:top w:val="nil"/>
            </w:tcBorders>
            <w:shd w:val="clear" w:color="auto" w:fill="FFFFFF"/>
            <w:tcMar>
              <w:top w:w="90" w:type="dxa"/>
              <w:left w:w="105" w:type="dxa"/>
              <w:bottom w:w="60" w:type="dxa"/>
              <w:right w:w="105" w:type="dxa"/>
            </w:tcMar>
            <w:hideMark/>
          </w:tcPr>
          <w:p w14:paraId="7461E642" w14:textId="77777777" w:rsidR="00705C13" w:rsidRPr="00705C13" w:rsidRDefault="00705C13" w:rsidP="00705C13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</w:pPr>
            <w:r w:rsidRPr="00705C13">
              <w:rPr>
                <w:rFonts w:ascii="Arial" w:eastAsia="Times New Roman" w:hAnsi="Arial" w:cs="Arial"/>
                <w:color w:val="3C3C3C"/>
                <w:sz w:val="18"/>
                <w:szCs w:val="18"/>
                <w:lang w:eastAsia="cs-CZ"/>
              </w:rPr>
              <w:t>Na základě hloubkového šetření s ohledem na účinky na bezpečnost silničního provozu, podmínky hospodářské soutěže, strukturu povolání a sociální aspekty posouzení dopadů prokázalo, že by navzdory značným administrativním nákladům nebylo úplné zahrnutí zaměstnaných a samostatně výdělečně činných řidičů vymahatelné</w:t>
            </w:r>
            <w:r w:rsidRPr="00705C13">
              <w:rPr>
                <w:rFonts w:ascii="Arial" w:eastAsia="Times New Roman" w:hAnsi="Arial" w:cs="Arial"/>
                <w:color w:val="303030"/>
                <w:sz w:val="18"/>
                <w:szCs w:val="18"/>
                <w:shd w:val="clear" w:color="auto" w:fill="FFFEEF"/>
                <w:lang w:eastAsia="cs-CZ"/>
              </w:rPr>
              <w:t>, </w:t>
            </w:r>
            <w:r w:rsidRPr="00705C13">
              <w:rPr>
                <w:rFonts w:ascii="Arial" w:eastAsia="Times New Roman" w:hAnsi="Arial" w:cs="Arial"/>
                <w:b/>
                <w:bCs/>
                <w:color w:val="242424"/>
                <w:sz w:val="18"/>
                <w:szCs w:val="18"/>
                <w:shd w:val="clear" w:color="auto" w:fill="FFFEEF"/>
                <w:lang w:eastAsia="cs-CZ"/>
              </w:rPr>
              <w:t>a pro</w:t>
            </w:r>
            <w:r w:rsidRPr="00705C13">
              <w:rPr>
                <w:rFonts w:ascii="Arial" w:eastAsia="Times New Roman" w:hAnsi="Arial" w:cs="Arial"/>
                <w:b/>
                <w:bCs/>
                <w:color w:val="181818"/>
                <w:sz w:val="18"/>
                <w:szCs w:val="18"/>
                <w:shd w:val="clear" w:color="auto" w:fill="FFFCCF"/>
                <w:lang w:eastAsia="cs-CZ"/>
              </w:rPr>
              <w:t>to </w:t>
            </w:r>
            <w:r w:rsidRPr="00705C13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shd w:val="clear" w:color="auto" w:fill="FFFCCF"/>
                <w:lang w:eastAsia="cs-CZ"/>
              </w:rPr>
              <w:t>je </w:t>
            </w:r>
            <w:r w:rsidRPr="00705C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BB8"/>
                <w:lang w:eastAsia="cs-CZ"/>
              </w:rPr>
              <w:t>nejlepší</w:t>
            </w:r>
            <w:r w:rsidRPr="00705C13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shd w:val="clear" w:color="auto" w:fill="FFFCCF"/>
                <w:lang w:eastAsia="cs-CZ"/>
              </w:rPr>
              <w:t> mo</w:t>
            </w:r>
            <w:r w:rsidRPr="00705C13">
              <w:rPr>
                <w:rFonts w:ascii="Arial" w:eastAsia="Times New Roman" w:hAnsi="Arial" w:cs="Arial"/>
                <w:b/>
                <w:bCs/>
                <w:color w:val="181818"/>
                <w:sz w:val="18"/>
                <w:szCs w:val="18"/>
                <w:shd w:val="clear" w:color="auto" w:fill="FFFCCF"/>
                <w:lang w:eastAsia="cs-CZ"/>
              </w:rPr>
              <w:t>žn</w:t>
            </w:r>
            <w:r w:rsidRPr="00705C13">
              <w:rPr>
                <w:rFonts w:ascii="Arial" w:eastAsia="Times New Roman" w:hAnsi="Arial" w:cs="Arial"/>
                <w:b/>
                <w:bCs/>
                <w:color w:val="242424"/>
                <w:sz w:val="18"/>
                <w:szCs w:val="18"/>
                <w:shd w:val="clear" w:color="auto" w:fill="FFFEEF"/>
                <w:lang w:eastAsia="cs-CZ"/>
              </w:rPr>
              <w:t>ostí</w:t>
            </w:r>
            <w:r w:rsidRPr="00705C13">
              <w:rPr>
                <w:rFonts w:ascii="Arial" w:eastAsia="Times New Roman" w:hAnsi="Arial" w:cs="Arial"/>
                <w:b/>
                <w:bCs/>
                <w:color w:val="181818"/>
                <w:sz w:val="18"/>
                <w:szCs w:val="18"/>
                <w:shd w:val="clear" w:color="auto" w:fill="FFFCCF"/>
                <w:lang w:eastAsia="cs-CZ"/>
              </w:rPr>
              <w:t> ř</w:t>
            </w:r>
            <w:r w:rsidRPr="00705C13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shd w:val="clear" w:color="auto" w:fill="FFFCCF"/>
                <w:lang w:eastAsia="cs-CZ"/>
              </w:rPr>
              <w:t>eš</w:t>
            </w:r>
            <w:r w:rsidRPr="00705C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BB8"/>
                <w:lang w:eastAsia="cs-CZ"/>
              </w:rPr>
              <w:t>it problém „</w:t>
            </w:r>
            <w:r w:rsidRPr="00705C13">
              <w:rPr>
                <w:rFonts w:ascii="Arial" w:eastAsia="Times New Roman" w:hAnsi="Arial" w:cs="Arial"/>
                <w:b/>
                <w:bCs/>
                <w:color w:val="0C0C0C"/>
                <w:sz w:val="18"/>
                <w:szCs w:val="18"/>
                <w:shd w:val="clear" w:color="auto" w:fill="FFFCCF"/>
                <w:lang w:eastAsia="cs-CZ"/>
              </w:rPr>
              <w:t>nep</w:t>
            </w:r>
            <w:r w:rsidRPr="00705C13">
              <w:rPr>
                <w:rFonts w:ascii="Arial" w:eastAsia="Times New Roman" w:hAnsi="Arial" w:cs="Arial"/>
                <w:b/>
                <w:bCs/>
                <w:color w:val="181818"/>
                <w:sz w:val="18"/>
                <w:szCs w:val="18"/>
                <w:shd w:val="clear" w:color="auto" w:fill="FFFCCF"/>
                <w:lang w:eastAsia="cs-CZ"/>
              </w:rPr>
              <w:t>rav</w:t>
            </w:r>
            <w:r w:rsidRPr="00705C13">
              <w:rPr>
                <w:rFonts w:ascii="Arial" w:eastAsia="Times New Roman" w:hAnsi="Arial" w:cs="Arial"/>
                <w:b/>
                <w:bCs/>
                <w:color w:val="242424"/>
                <w:sz w:val="18"/>
                <w:szCs w:val="18"/>
                <w:shd w:val="clear" w:color="auto" w:fill="FFFEEF"/>
                <w:lang w:eastAsia="cs-CZ"/>
              </w:rPr>
              <w:t>ých</w:t>
            </w:r>
            <w:r w:rsidRPr="00705C13"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shd w:val="clear" w:color="auto" w:fill="FFFEEF"/>
                <w:lang w:eastAsia="cs-CZ"/>
              </w:rPr>
              <w:t>“ </w:t>
            </w:r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samostatně výdělečně činných řidičů </w:t>
            </w:r>
            <w:commentRangeStart w:id="0"/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highlight w:val="yellow"/>
                <w:lang w:eastAsia="cs-CZ"/>
              </w:rPr>
              <w:t>namísto</w:t>
            </w:r>
            <w:commentRangeEnd w:id="0"/>
            <w:r>
              <w:rPr>
                <w:rStyle w:val="Odkaznakoment"/>
              </w:rPr>
              <w:commentReference w:id="0"/>
            </w:r>
            <w:r w:rsidRPr="00705C13">
              <w:rPr>
                <w:rFonts w:ascii="Arial" w:eastAsia="Times New Roman" w:hAnsi="Arial" w:cs="Arial"/>
                <w:b/>
                <w:bCs/>
                <w:color w:val="3C3C3C"/>
                <w:sz w:val="18"/>
                <w:szCs w:val="18"/>
                <w:lang w:eastAsia="cs-CZ"/>
              </w:rPr>
              <w:t xml:space="preserve"> rozšíření oblasti působnosti směrnice rovněž na samostatně výdělečně činné řidiče. </w:t>
            </w:r>
          </w:p>
          <w:p w14:paraId="6ACB5DCC" w14:textId="77777777" w:rsidR="00705C13" w:rsidRPr="00705C13" w:rsidRDefault="003B6D6A" w:rsidP="00705C13">
            <w:pPr>
              <w:spacing w:after="0" w:line="360" w:lineRule="atLeast"/>
              <w:rPr>
                <w:rFonts w:ascii="Arial" w:eastAsia="Times New Roman" w:hAnsi="Arial" w:cs="Arial"/>
                <w:i/>
                <w:iCs/>
                <w:color w:val="777777"/>
                <w:sz w:val="17"/>
                <w:szCs w:val="17"/>
                <w:lang w:eastAsia="cs-CZ"/>
              </w:rPr>
            </w:pPr>
            <w:hyperlink r:id="rId8" w:tgtFrame="_blank" w:history="1">
              <w:r w:rsidR="00705C13" w:rsidRPr="00705C13">
                <w:rPr>
                  <w:rFonts w:ascii="Arial" w:eastAsia="Times New Roman" w:hAnsi="Arial" w:cs="Arial"/>
                  <w:i/>
                  <w:iCs/>
                  <w:color w:val="777777"/>
                  <w:sz w:val="17"/>
                  <w:szCs w:val="17"/>
                  <w:u w:val="single"/>
                  <w:lang w:eastAsia="cs-CZ"/>
                </w:rPr>
                <w:t>eur-lex.europa.eu</w:t>
              </w:r>
            </w:hyperlink>
          </w:p>
        </w:tc>
      </w:tr>
    </w:tbl>
    <w:p w14:paraId="4E6186AD" w14:textId="70CD5662" w:rsidR="00705C13" w:rsidRDefault="00705C1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Arial" w:hAnsi="Arial" w:cs="Arial"/>
          <w:color w:val="3C3C3C"/>
          <w:sz w:val="18"/>
          <w:szCs w:val="18"/>
          <w:shd w:val="clear" w:color="auto" w:fill="FFFFFF"/>
        </w:rPr>
        <w:t>pod zástěrkou samostatné výdělečné činnosti,</w:t>
      </w:r>
      <w:r>
        <w:tab/>
      </w:r>
    </w:p>
    <w:p w14:paraId="1077D48E" w14:textId="7742331F" w:rsidR="006D0BC3" w:rsidRDefault="006D0BC3">
      <w:r>
        <w:t>Švarc</w:t>
      </w:r>
    </w:p>
    <w:p w14:paraId="41B01E87" w14:textId="3376AB2A" w:rsidR="006D0BC3" w:rsidRDefault="006D0BC3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Miroslav Švarc byl v této oblasti průkopníkem. Jeho zlepšovák se státu nelíbil. Po několika pokutách byl na konci 90. let odsouzen k 18 měsícům nepodmíněně. Nebyl však odsouzen za svůj vynález, ale za neodvádění 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p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ojistného za své zaměstnance.</w:t>
      </w:r>
    </w:p>
    <w:p w14:paraId="6A914A63" w14:textId="4BD495FD" w:rsidR="006D0BC3" w:rsidRDefault="006D0BC3">
      <w:pPr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Tento název vyvolávající kriminální asociace bych raději nahradil neškodnější: </w:t>
      </w:r>
      <w:r w:rsidRPr="006D0BC3"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</w:rPr>
        <w:t>„</w:t>
      </w:r>
      <w:r w:rsidRPr="006D0BC3"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</w:rPr>
        <w:t>neprav</w:t>
      </w:r>
      <w:r w:rsidRPr="006D0BC3"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</w:rPr>
        <w:t>é</w:t>
      </w:r>
      <w:r w:rsidRPr="006D0BC3"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</w:rPr>
        <w:t xml:space="preserve">“ </w:t>
      </w:r>
      <w:r w:rsidRPr="006D0BC3"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</w:rPr>
        <w:t xml:space="preserve">osoby </w:t>
      </w:r>
      <w:r w:rsidRPr="006D0BC3"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</w:rPr>
        <w:t>samostatně výdělečně</w:t>
      </w:r>
      <w:r w:rsidRPr="006D0BC3"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</w:rPr>
        <w:t xml:space="preserve"> činní“</w:t>
      </w:r>
    </w:p>
    <w:p w14:paraId="358AE666" w14:textId="0D71AC12" w:rsidR="00FF533C" w:rsidRDefault="00FF533C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14:paraId="5CE2D9EC" w14:textId="77777777" w:rsidR="00E571F8" w:rsidRPr="0067595C" w:rsidRDefault="00E571F8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14:paraId="1A2703B9" w14:textId="69C6469B" w:rsidR="00FF533C" w:rsidRPr="0067595C" w:rsidRDefault="00FF533C">
      <w:pPr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proofErr w:type="spellStart"/>
      <w:r w:rsidRPr="0067595C">
        <w:rPr>
          <w:rFonts w:ascii="Arial" w:hAnsi="Arial" w:cs="Arial"/>
          <w:color w:val="404040"/>
          <w:sz w:val="18"/>
          <w:szCs w:val="18"/>
          <w:shd w:val="clear" w:color="auto" w:fill="FFFFFF"/>
        </w:rPr>
        <w:t>Wolters</w:t>
      </w:r>
      <w:proofErr w:type="spellEnd"/>
      <w:r w:rsidRPr="0067595C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67595C">
        <w:rPr>
          <w:rFonts w:ascii="Arial" w:hAnsi="Arial" w:cs="Arial"/>
          <w:color w:val="404040"/>
          <w:sz w:val="18"/>
          <w:szCs w:val="18"/>
          <w:shd w:val="clear" w:color="auto" w:fill="FFFFFF"/>
        </w:rPr>
        <w:t>Kluwer</w:t>
      </w:r>
      <w:proofErr w:type="spellEnd"/>
      <w:r w:rsidRPr="0067595C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,  </w:t>
      </w:r>
      <w:r w:rsidR="0067595C" w:rsidRPr="0067595C">
        <w:rPr>
          <w:rFonts w:ascii="Arial" w:hAnsi="Arial" w:cs="Arial"/>
          <w:color w:val="404040"/>
          <w:sz w:val="18"/>
          <w:szCs w:val="18"/>
          <w:shd w:val="clear" w:color="auto" w:fill="FFFFFF"/>
        </w:rPr>
        <w:t>vydavatel</w:t>
      </w:r>
      <w:proofErr w:type="gramEnd"/>
      <w:r w:rsidR="0067595C" w:rsidRPr="0067595C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a poskytovatel informačních produktů a služeb v oblasti práva, daní, účetnictví, financí, auditu a řízení rizik</w:t>
      </w:r>
      <w:r w:rsidR="0067595C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cituje soudní rozhodnutí Nejvyššího správního soudu</w:t>
      </w:r>
      <w:r w:rsidR="00E37033">
        <w:rPr>
          <w:rFonts w:ascii="Arial" w:hAnsi="Arial" w:cs="Arial"/>
          <w:color w:val="404040"/>
          <w:sz w:val="18"/>
          <w:szCs w:val="18"/>
          <w:shd w:val="clear" w:color="auto" w:fill="FFFFFF"/>
        </w:rPr>
        <w:t>, kde se používá formulace „</w:t>
      </w:r>
      <w:r w:rsidR="00E37033" w:rsidRPr="00E571F8"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</w:rPr>
        <w:t>znaky závislé práce</w:t>
      </w:r>
      <w:r w:rsidR="00E37033">
        <w:rPr>
          <w:rFonts w:ascii="Arial" w:hAnsi="Arial" w:cs="Arial"/>
          <w:color w:val="404040"/>
          <w:sz w:val="18"/>
          <w:szCs w:val="18"/>
          <w:shd w:val="clear" w:color="auto" w:fill="FFFFFF"/>
        </w:rPr>
        <w:t>“.</w:t>
      </w:r>
    </w:p>
    <w:p w14:paraId="50110138" w14:textId="2A2260BA" w:rsidR="00FF533C" w:rsidRPr="006D0BC3" w:rsidRDefault="00FF533C">
      <w:pPr>
        <w:rPr>
          <w:b/>
          <w:bCs/>
        </w:rPr>
      </w:pPr>
      <w:hyperlink r:id="rId9" w:history="1">
        <w:r>
          <w:rPr>
            <w:rStyle w:val="Hypertextovodkaz"/>
          </w:rPr>
          <w:t>http://www.zuboz.cz/wp-content/uploads/2015/10/Jak%C3%A9-znaky-m%C3%A1-z%C3%A1visl%C3%A1-pr%C3%A1ce.pdf</w:t>
        </w:r>
      </w:hyperlink>
    </w:p>
    <w:p w14:paraId="0E78791C" w14:textId="39414102" w:rsidR="00705C13" w:rsidRDefault="000D7F69" w:rsidP="00E571F8">
      <w:proofErr w:type="spellStart"/>
      <w:r w:rsidRPr="00E571F8">
        <w:rPr>
          <w:b/>
          <w:bCs/>
        </w:rPr>
        <w:t>Einzugsstelle</w:t>
      </w:r>
      <w:proofErr w:type="spellEnd"/>
      <w:r>
        <w:t xml:space="preserve">: </w:t>
      </w:r>
      <w:r w:rsidR="00E571F8">
        <w:t xml:space="preserve">Der </w:t>
      </w:r>
      <w:proofErr w:type="spellStart"/>
      <w:r w:rsidR="00E571F8">
        <w:t>Gesamtsozialversicherungsbeitrag</w:t>
      </w:r>
      <w:proofErr w:type="spellEnd"/>
      <w:r w:rsidR="00E571F8">
        <w:t xml:space="preserve"> </w:t>
      </w:r>
      <w:proofErr w:type="spellStart"/>
      <w:r w:rsidR="00E571F8">
        <w:t>ist</w:t>
      </w:r>
      <w:proofErr w:type="spellEnd"/>
      <w:r w:rsidR="00E571F8">
        <w:t xml:space="preserve"> </w:t>
      </w:r>
      <w:proofErr w:type="spellStart"/>
      <w:r w:rsidR="00E571F8">
        <w:t>an</w:t>
      </w:r>
      <w:proofErr w:type="spellEnd"/>
      <w:r w:rsidR="00E571F8">
        <w:t xml:space="preserve"> </w:t>
      </w:r>
      <w:proofErr w:type="spellStart"/>
      <w:r w:rsidR="00E571F8">
        <w:t>die</w:t>
      </w:r>
      <w:proofErr w:type="spellEnd"/>
      <w:r w:rsidR="00E571F8">
        <w:t xml:space="preserve"> </w:t>
      </w:r>
      <w:proofErr w:type="spellStart"/>
      <w:r w:rsidR="00E571F8" w:rsidRPr="00E571F8">
        <w:rPr>
          <w:b/>
          <w:bCs/>
        </w:rPr>
        <w:t>Krankenkassen</w:t>
      </w:r>
      <w:proofErr w:type="spellEnd"/>
      <w:r w:rsidR="00E571F8" w:rsidRPr="00E571F8">
        <w:rPr>
          <w:b/>
          <w:bCs/>
        </w:rPr>
        <w:t xml:space="preserve"> (</w:t>
      </w:r>
      <w:proofErr w:type="spellStart"/>
      <w:r w:rsidR="00E571F8" w:rsidRPr="00E571F8">
        <w:rPr>
          <w:b/>
          <w:bCs/>
        </w:rPr>
        <w:t>Einzugsstellen</w:t>
      </w:r>
      <w:proofErr w:type="spellEnd"/>
      <w:r w:rsidR="00E571F8" w:rsidRPr="00E571F8">
        <w:rPr>
          <w:b/>
          <w:bCs/>
        </w:rPr>
        <w:t>)</w:t>
      </w:r>
      <w:r w:rsidR="00E571F8">
        <w:t xml:space="preserve"> </w:t>
      </w:r>
      <w:proofErr w:type="spellStart"/>
      <w:r w:rsidR="00E571F8">
        <w:t>zu</w:t>
      </w:r>
      <w:proofErr w:type="spellEnd"/>
      <w:r w:rsidR="00E571F8">
        <w:t xml:space="preserve"> </w:t>
      </w:r>
      <w:proofErr w:type="spellStart"/>
      <w:r w:rsidR="00E571F8">
        <w:t>zahlen</w:t>
      </w:r>
      <w:proofErr w:type="spellEnd"/>
      <w:r w:rsidR="00E571F8">
        <w:t xml:space="preserve">. Die </w:t>
      </w:r>
      <w:proofErr w:type="spellStart"/>
      <w:r w:rsidR="00E571F8">
        <w:t>Einzugsstelle</w:t>
      </w:r>
      <w:proofErr w:type="spellEnd"/>
      <w:r w:rsidR="00E571F8">
        <w:t xml:space="preserve"> </w:t>
      </w:r>
      <w:proofErr w:type="spellStart"/>
      <w:r w:rsidR="00E571F8">
        <w:t>überwacht</w:t>
      </w:r>
      <w:proofErr w:type="spellEnd"/>
      <w:r w:rsidR="00E571F8">
        <w:t xml:space="preserve"> </w:t>
      </w:r>
      <w:proofErr w:type="spellStart"/>
      <w:r w:rsidR="00E571F8">
        <w:t>die</w:t>
      </w:r>
      <w:proofErr w:type="spellEnd"/>
      <w:r w:rsidR="00E571F8">
        <w:t xml:space="preserve"> </w:t>
      </w:r>
      <w:proofErr w:type="spellStart"/>
      <w:r w:rsidR="00E571F8">
        <w:t>Einreichung</w:t>
      </w:r>
      <w:proofErr w:type="spellEnd"/>
      <w:r w:rsidR="00E571F8">
        <w:t xml:space="preserve"> des </w:t>
      </w:r>
      <w:proofErr w:type="spellStart"/>
      <w:r w:rsidR="00E571F8">
        <w:t>Beitragsnachweises</w:t>
      </w:r>
      <w:proofErr w:type="spellEnd"/>
      <w:r w:rsidR="00E571F8">
        <w:t xml:space="preserve"> </w:t>
      </w:r>
      <w:proofErr w:type="spellStart"/>
      <w:r w:rsidR="00E571F8">
        <w:t>und</w:t>
      </w:r>
      <w:proofErr w:type="spellEnd"/>
      <w:r w:rsidR="00E571F8">
        <w:t xml:space="preserve"> </w:t>
      </w:r>
      <w:proofErr w:type="spellStart"/>
      <w:r w:rsidR="00E571F8">
        <w:t>die</w:t>
      </w:r>
      <w:proofErr w:type="spellEnd"/>
      <w:r w:rsidR="00E571F8">
        <w:t xml:space="preserve"> </w:t>
      </w:r>
      <w:proofErr w:type="spellStart"/>
      <w:r w:rsidR="00E571F8">
        <w:t>Zahlung</w:t>
      </w:r>
      <w:proofErr w:type="spellEnd"/>
      <w:r w:rsidR="00E571F8">
        <w:t xml:space="preserve"> des </w:t>
      </w:r>
      <w:proofErr w:type="spellStart"/>
      <w:r w:rsidR="00E571F8">
        <w:t>Gesamtsozialversicherungsbeitrags</w:t>
      </w:r>
      <w:proofErr w:type="spellEnd"/>
      <w:r w:rsidR="00E571F8">
        <w:t xml:space="preserve">. </w:t>
      </w:r>
      <w:proofErr w:type="spellStart"/>
      <w:r w:rsidR="00E571F8">
        <w:t>Beitragsansprüche</w:t>
      </w:r>
      <w:proofErr w:type="spellEnd"/>
      <w:r w:rsidR="00E571F8">
        <w:t xml:space="preserve">, </w:t>
      </w:r>
      <w:proofErr w:type="spellStart"/>
      <w:r w:rsidR="00E571F8">
        <w:t>die</w:t>
      </w:r>
      <w:proofErr w:type="spellEnd"/>
      <w:r w:rsidR="00E571F8">
        <w:t xml:space="preserve"> </w:t>
      </w:r>
      <w:proofErr w:type="spellStart"/>
      <w:r w:rsidR="00E571F8">
        <w:t>nicht</w:t>
      </w:r>
      <w:proofErr w:type="spellEnd"/>
      <w:r w:rsidR="00E571F8">
        <w:t xml:space="preserve"> </w:t>
      </w:r>
      <w:proofErr w:type="spellStart"/>
      <w:r w:rsidR="00E571F8">
        <w:t>rechtzeitig</w:t>
      </w:r>
      <w:proofErr w:type="spellEnd"/>
      <w:r w:rsidR="00E571F8">
        <w:t xml:space="preserve"> </w:t>
      </w:r>
      <w:proofErr w:type="spellStart"/>
      <w:r w:rsidR="00E571F8">
        <w:t>erfüllt</w:t>
      </w:r>
      <w:proofErr w:type="spellEnd"/>
      <w:r w:rsidR="00E571F8">
        <w:t xml:space="preserve"> </w:t>
      </w:r>
      <w:proofErr w:type="spellStart"/>
      <w:r w:rsidR="00E571F8">
        <w:t>worden</w:t>
      </w:r>
      <w:proofErr w:type="spellEnd"/>
      <w:r w:rsidR="00E571F8">
        <w:t xml:space="preserve"> </w:t>
      </w:r>
      <w:proofErr w:type="spellStart"/>
      <w:r w:rsidR="00E571F8">
        <w:t>sind</w:t>
      </w:r>
      <w:proofErr w:type="spellEnd"/>
      <w:r w:rsidR="00E571F8">
        <w:t xml:space="preserve">, </w:t>
      </w:r>
      <w:proofErr w:type="spellStart"/>
      <w:r w:rsidR="00E571F8">
        <w:t>hat</w:t>
      </w:r>
      <w:proofErr w:type="spellEnd"/>
      <w:r w:rsidR="00E571F8">
        <w:t xml:space="preserve"> </w:t>
      </w:r>
      <w:proofErr w:type="spellStart"/>
      <w:r w:rsidR="00E571F8">
        <w:t>die</w:t>
      </w:r>
      <w:proofErr w:type="spellEnd"/>
      <w:r w:rsidR="00E571F8">
        <w:t xml:space="preserve"> </w:t>
      </w:r>
      <w:proofErr w:type="spellStart"/>
      <w:r w:rsidR="00E571F8">
        <w:t>Einzugsstelle</w:t>
      </w:r>
      <w:proofErr w:type="spellEnd"/>
      <w:r w:rsidR="00E571F8">
        <w:t xml:space="preserve"> </w:t>
      </w:r>
      <w:proofErr w:type="spellStart"/>
      <w:r w:rsidR="00E571F8">
        <w:t>geltend</w:t>
      </w:r>
      <w:proofErr w:type="spellEnd"/>
      <w:r w:rsidR="00E571F8">
        <w:t xml:space="preserve"> </w:t>
      </w:r>
      <w:proofErr w:type="spellStart"/>
      <w:r w:rsidR="00E571F8">
        <w:t>zu</w:t>
      </w:r>
      <w:proofErr w:type="spellEnd"/>
      <w:r w:rsidR="00E571F8">
        <w:t xml:space="preserve"> machen.</w:t>
      </w:r>
      <w:r w:rsidR="00E571F8">
        <w:t xml:space="preserve"> </w:t>
      </w:r>
      <w:r w:rsidR="00E571F8">
        <w:t xml:space="preserve">(2) Die </w:t>
      </w:r>
      <w:proofErr w:type="spellStart"/>
      <w:r w:rsidR="00E571F8">
        <w:t>Einzugsstelle</w:t>
      </w:r>
      <w:proofErr w:type="spellEnd"/>
      <w:r w:rsidR="00E571F8">
        <w:t xml:space="preserve"> </w:t>
      </w:r>
      <w:proofErr w:type="spellStart"/>
      <w:r w:rsidR="00E571F8">
        <w:t>entscheidet</w:t>
      </w:r>
      <w:proofErr w:type="spellEnd"/>
      <w:r w:rsidR="00E571F8">
        <w:t xml:space="preserve"> </w:t>
      </w:r>
      <w:proofErr w:type="spellStart"/>
      <w:r w:rsidR="00E571F8">
        <w:t>über</w:t>
      </w:r>
      <w:proofErr w:type="spellEnd"/>
      <w:r w:rsidR="00E571F8">
        <w:t xml:space="preserve"> </w:t>
      </w:r>
      <w:proofErr w:type="spellStart"/>
      <w:r w:rsidR="00E571F8">
        <w:t>die</w:t>
      </w:r>
      <w:proofErr w:type="spellEnd"/>
      <w:r w:rsidR="00E571F8">
        <w:t xml:space="preserve"> </w:t>
      </w:r>
      <w:proofErr w:type="spellStart"/>
      <w:r w:rsidR="00E571F8">
        <w:t>Versicherungspflicht</w:t>
      </w:r>
      <w:proofErr w:type="spellEnd"/>
      <w:r w:rsidR="00E571F8">
        <w:t xml:space="preserve"> </w:t>
      </w:r>
      <w:proofErr w:type="spellStart"/>
      <w:r w:rsidR="00E571F8">
        <w:t>und</w:t>
      </w:r>
      <w:proofErr w:type="spellEnd"/>
      <w:r w:rsidR="00E571F8">
        <w:t xml:space="preserve"> </w:t>
      </w:r>
      <w:proofErr w:type="spellStart"/>
      <w:r w:rsidR="00E571F8">
        <w:t>Beitragshöhe</w:t>
      </w:r>
      <w:proofErr w:type="spellEnd"/>
      <w:r w:rsidR="00E571F8">
        <w:t xml:space="preserve"> in der </w:t>
      </w:r>
      <w:proofErr w:type="spellStart"/>
      <w:r w:rsidR="00E571F8">
        <w:t>Kranken</w:t>
      </w:r>
      <w:proofErr w:type="spellEnd"/>
      <w:r w:rsidR="00E571F8">
        <w:t xml:space="preserve">-, </w:t>
      </w:r>
      <w:proofErr w:type="spellStart"/>
      <w:proofErr w:type="gramStart"/>
      <w:r w:rsidR="00E571F8">
        <w:t>Pflege</w:t>
      </w:r>
      <w:proofErr w:type="spellEnd"/>
      <w:r w:rsidR="00E571F8">
        <w:t xml:space="preserve">- </w:t>
      </w:r>
      <w:proofErr w:type="spellStart"/>
      <w:r w:rsidR="00E571F8">
        <w:t>und</w:t>
      </w:r>
      <w:proofErr w:type="spellEnd"/>
      <w:proofErr w:type="gramEnd"/>
      <w:r w:rsidR="00E571F8">
        <w:t xml:space="preserve"> </w:t>
      </w:r>
      <w:proofErr w:type="spellStart"/>
      <w:r w:rsidR="00E571F8">
        <w:t>Rentenversicherung</w:t>
      </w:r>
      <w:proofErr w:type="spellEnd"/>
      <w:r w:rsidR="00E571F8">
        <w:t xml:space="preserve"> </w:t>
      </w:r>
      <w:proofErr w:type="spellStart"/>
      <w:r w:rsidR="00E571F8">
        <w:t>sowie</w:t>
      </w:r>
      <w:proofErr w:type="spellEnd"/>
      <w:r w:rsidR="00E571F8">
        <w:t xml:space="preserve"> nach dem </w:t>
      </w:r>
      <w:proofErr w:type="spellStart"/>
      <w:r w:rsidR="00E571F8">
        <w:t>Recht</w:t>
      </w:r>
      <w:proofErr w:type="spellEnd"/>
      <w:r w:rsidR="00E571F8">
        <w:t xml:space="preserve"> der </w:t>
      </w:r>
      <w:proofErr w:type="spellStart"/>
      <w:r w:rsidR="00E571F8">
        <w:t>Arbeitsförderung</w:t>
      </w:r>
      <w:proofErr w:type="spellEnd"/>
      <w:r w:rsidR="00E571F8">
        <w:t xml:space="preserve">; </w:t>
      </w:r>
      <w:proofErr w:type="spellStart"/>
      <w:r w:rsidR="00E571F8">
        <w:t>sie</w:t>
      </w:r>
      <w:proofErr w:type="spellEnd"/>
      <w:r w:rsidR="00E571F8">
        <w:t xml:space="preserve"> </w:t>
      </w:r>
      <w:proofErr w:type="spellStart"/>
      <w:r w:rsidR="00E571F8">
        <w:t>erlässt</w:t>
      </w:r>
      <w:proofErr w:type="spellEnd"/>
      <w:r w:rsidR="00E571F8">
        <w:t xml:space="preserve"> </w:t>
      </w:r>
      <w:proofErr w:type="spellStart"/>
      <w:r w:rsidR="00E571F8">
        <w:t>auch</w:t>
      </w:r>
      <w:proofErr w:type="spellEnd"/>
      <w:r w:rsidR="00E571F8">
        <w:t xml:space="preserve"> den </w:t>
      </w:r>
      <w:proofErr w:type="spellStart"/>
      <w:r w:rsidR="00E571F8">
        <w:t>Widerspruchsbescheid</w:t>
      </w:r>
      <w:proofErr w:type="spellEnd"/>
      <w:r w:rsidR="00E571F8">
        <w:t xml:space="preserve">. </w:t>
      </w:r>
    </w:p>
    <w:p w14:paraId="1767BF4C" w14:textId="3A1D3471" w:rsidR="00E571F8" w:rsidRDefault="00E571F8" w:rsidP="00E571F8">
      <w:hyperlink r:id="rId10" w:history="1">
        <w:r>
          <w:rPr>
            <w:rStyle w:val="Hypertextovodkaz"/>
          </w:rPr>
          <w:t>https://www.gesetze-im-internet.de/sgb_4/__28h.html</w:t>
        </w:r>
      </w:hyperlink>
    </w:p>
    <w:p w14:paraId="3ECAEDFB" w14:textId="3ADAF6BE" w:rsidR="00705C13" w:rsidRDefault="00E571F8" w:rsidP="00E571F8">
      <w:r>
        <w:t xml:space="preserve">In der </w:t>
      </w:r>
      <w:proofErr w:type="spellStart"/>
      <w:r>
        <w:t>Rentenversicherung</w:t>
      </w:r>
      <w:proofErr w:type="spellEnd"/>
      <w:r>
        <w:t xml:space="preserve"> </w:t>
      </w:r>
      <w:proofErr w:type="spellStart"/>
      <w:r>
        <w:t>unterliegen</w:t>
      </w:r>
      <w:proofErr w:type="spellEnd"/>
      <w:r>
        <w:t xml:space="preserve"> </w:t>
      </w:r>
      <w:proofErr w:type="spellStart"/>
      <w:r>
        <w:t>geringfügig</w:t>
      </w:r>
      <w:proofErr w:type="spellEnd"/>
      <w:r>
        <w:t xml:space="preserve"> </w:t>
      </w:r>
      <w:proofErr w:type="spellStart"/>
      <w:r>
        <w:t>entlohnte</w:t>
      </w:r>
      <w:proofErr w:type="spellEnd"/>
      <w:r>
        <w:t xml:space="preserve"> </w:t>
      </w:r>
      <w:proofErr w:type="spellStart"/>
      <w:r>
        <w:t>Beschäftigte</w:t>
      </w:r>
      <w:proofErr w:type="spellEnd"/>
      <w:r>
        <w:t xml:space="preserve"> </w:t>
      </w:r>
      <w:proofErr w:type="spellStart"/>
      <w:r>
        <w:t>generell</w:t>
      </w:r>
      <w:proofErr w:type="spellEnd"/>
      <w:r>
        <w:t xml:space="preserve"> der </w:t>
      </w:r>
      <w:proofErr w:type="spellStart"/>
      <w:r>
        <w:t>Versicherungspflicht</w:t>
      </w:r>
      <w:proofErr w:type="spellEnd"/>
      <w:r>
        <w:t>.</w:t>
      </w:r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Antrag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Minijobber</w:t>
      </w:r>
      <w:proofErr w:type="spellEnd"/>
      <w:r>
        <w:t xml:space="preserve"> von </w:t>
      </w:r>
      <w:proofErr w:type="spellStart"/>
      <w:r>
        <w:t>Versicherungspflicht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Rentenversicherung</w:t>
      </w:r>
      <w:proofErr w:type="spellEnd"/>
      <w:r>
        <w:t xml:space="preserve"> </w:t>
      </w:r>
      <w:proofErr w:type="spellStart"/>
      <w:r>
        <w:t>befreien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(</w:t>
      </w:r>
      <w:proofErr w:type="spellStart"/>
      <w:r>
        <w:t>siehe</w:t>
      </w:r>
      <w:proofErr w:type="spellEnd"/>
      <w:r>
        <w:t xml:space="preserve"> </w:t>
      </w:r>
      <w:proofErr w:type="spellStart"/>
      <w:r>
        <w:t>unten</w:t>
      </w:r>
      <w:proofErr w:type="spellEnd"/>
      <w:r>
        <w:t xml:space="preserve">). </w:t>
      </w:r>
      <w:proofErr w:type="spellStart"/>
      <w:r>
        <w:t>Kurzfristige</w:t>
      </w:r>
      <w:proofErr w:type="spellEnd"/>
      <w:r>
        <w:t xml:space="preserve"> </w:t>
      </w:r>
      <w:proofErr w:type="spellStart"/>
      <w:r>
        <w:t>Beschäftigungen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generell</w:t>
      </w:r>
      <w:proofErr w:type="spellEnd"/>
      <w:r>
        <w:t xml:space="preserve"> </w:t>
      </w:r>
      <w:proofErr w:type="spellStart"/>
      <w:r>
        <w:t>versicherungsfrei</w:t>
      </w:r>
      <w:proofErr w:type="spellEnd"/>
      <w:r>
        <w:t>.</w:t>
      </w:r>
    </w:p>
    <w:p w14:paraId="7D38A16C" w14:textId="498AA8C5" w:rsidR="00E571F8" w:rsidRDefault="00E571F8" w:rsidP="00E571F8"/>
    <w:p w14:paraId="326B6A8B" w14:textId="77777777" w:rsidR="008A4423" w:rsidRDefault="008A4423" w:rsidP="00E571F8"/>
    <w:p w14:paraId="67795CC3" w14:textId="7920655B" w:rsidR="008A4423" w:rsidRDefault="008A4423" w:rsidP="00E571F8">
      <w:proofErr w:type="spellStart"/>
      <w:r>
        <w:lastRenderedPageBreak/>
        <w:t>Cleararingverfahren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Migration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vorgerichtlichen</w:t>
      </w:r>
      <w:proofErr w:type="spellEnd"/>
      <w:r>
        <w:t xml:space="preserve"> </w:t>
      </w:r>
      <w:proofErr w:type="spellStart"/>
      <w:r>
        <w:t>Regelung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Konfliktparteien</w:t>
      </w:r>
      <w:proofErr w:type="spellEnd"/>
      <w:r>
        <w:t xml:space="preserve">, </w:t>
      </w:r>
      <w:proofErr w:type="spellStart"/>
      <w:r>
        <w:t>dasss</w:t>
      </w:r>
      <w:proofErr w:type="spellEnd"/>
      <w:r>
        <w:t xml:space="preserve"> in </w:t>
      </w:r>
      <w:proofErr w:type="spellStart"/>
      <w:r>
        <w:t>unserer</w:t>
      </w:r>
      <w:proofErr w:type="spellEnd"/>
      <w:r>
        <w:t xml:space="preserve"> </w:t>
      </w:r>
      <w:r>
        <w:rPr>
          <w:lang w:val="de-DE"/>
        </w:rPr>
        <w:t>Ü</w:t>
      </w:r>
      <w:proofErr w:type="spellStart"/>
      <w:r>
        <w:t>bersetzung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</w:t>
      </w:r>
      <w:proofErr w:type="spellStart"/>
      <w:r>
        <w:t>Statusfeststellung</w:t>
      </w:r>
      <w:proofErr w:type="spellEnd"/>
      <w:r>
        <w:t xml:space="preserve">“ </w:t>
      </w:r>
      <w:proofErr w:type="spellStart"/>
      <w:r>
        <w:t>bezeichnet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562A1470" w14:textId="6ADD4BDE" w:rsidR="008A4423" w:rsidRDefault="008A4423" w:rsidP="00E571F8">
      <w:pPr>
        <w:rPr>
          <w:rFonts w:ascii="Open Sans" w:hAnsi="Open Sans" w:cs="Open Sans"/>
          <w:color w:val="3F373F"/>
        </w:rPr>
      </w:pPr>
      <w:proofErr w:type="spellStart"/>
      <w:r>
        <w:rPr>
          <w:rFonts w:ascii="Open Sans" w:hAnsi="Open Sans" w:cs="Open Sans"/>
          <w:color w:val="3F373F"/>
        </w:rPr>
        <w:t>Ziel</w:t>
      </w:r>
      <w:proofErr w:type="spellEnd"/>
      <w:r>
        <w:rPr>
          <w:rFonts w:ascii="Open Sans" w:hAnsi="Open Sans" w:cs="Open Sans"/>
          <w:color w:val="3F373F"/>
        </w:rPr>
        <w:t xml:space="preserve"> des </w:t>
      </w:r>
      <w:proofErr w:type="spellStart"/>
      <w:r>
        <w:rPr>
          <w:rFonts w:ascii="Open Sans" w:hAnsi="Open Sans" w:cs="Open Sans"/>
          <w:color w:val="3F373F"/>
        </w:rPr>
        <w:t>Verfahrens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ist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die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gramStart"/>
      <w:r>
        <w:rPr>
          <w:rFonts w:ascii="Open Sans" w:hAnsi="Open Sans" w:cs="Open Sans"/>
          <w:color w:val="3F373F"/>
        </w:rPr>
        <w:t xml:space="preserve">Perspektiv- </w:t>
      </w:r>
      <w:proofErr w:type="spellStart"/>
      <w:r>
        <w:rPr>
          <w:rFonts w:ascii="Open Sans" w:hAnsi="Open Sans" w:cs="Open Sans"/>
          <w:color w:val="3F373F"/>
        </w:rPr>
        <w:t>und</w:t>
      </w:r>
      <w:proofErr w:type="spellEnd"/>
      <w:proofErr w:type="gram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Bedarfsklärung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im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Rahmen</w:t>
      </w:r>
      <w:proofErr w:type="spellEnd"/>
      <w:r>
        <w:rPr>
          <w:rFonts w:ascii="Open Sans" w:hAnsi="Open Sans" w:cs="Open Sans"/>
          <w:color w:val="3F373F"/>
        </w:rPr>
        <w:t xml:space="preserve"> der </w:t>
      </w:r>
      <w:proofErr w:type="spellStart"/>
      <w:r>
        <w:rPr>
          <w:rFonts w:ascii="Open Sans" w:hAnsi="Open Sans" w:cs="Open Sans"/>
          <w:color w:val="3F373F"/>
        </w:rPr>
        <w:t>Inobhutnahme</w:t>
      </w:r>
      <w:proofErr w:type="spellEnd"/>
      <w:r>
        <w:rPr>
          <w:rFonts w:ascii="Open Sans" w:hAnsi="Open Sans" w:cs="Open Sans"/>
          <w:color w:val="3F373F"/>
        </w:rPr>
        <w:t xml:space="preserve">. </w:t>
      </w:r>
      <w:proofErr w:type="spellStart"/>
      <w:r>
        <w:rPr>
          <w:rFonts w:ascii="Open Sans" w:hAnsi="Open Sans" w:cs="Open Sans"/>
          <w:color w:val="3F373F"/>
        </w:rPr>
        <w:t>Dabei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werden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insbesondere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notwendige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medizinische</w:t>
      </w:r>
      <w:proofErr w:type="spellEnd"/>
      <w:r>
        <w:rPr>
          <w:rFonts w:ascii="Open Sans" w:hAnsi="Open Sans" w:cs="Open Sans"/>
          <w:color w:val="3F373F"/>
        </w:rPr>
        <w:t xml:space="preserve"> oder </w:t>
      </w:r>
      <w:proofErr w:type="spellStart"/>
      <w:r>
        <w:rPr>
          <w:rFonts w:ascii="Open Sans" w:hAnsi="Open Sans" w:cs="Open Sans"/>
          <w:color w:val="3F373F"/>
        </w:rPr>
        <w:t>psychologische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Behandlungen</w:t>
      </w:r>
      <w:proofErr w:type="spellEnd"/>
      <w:r>
        <w:rPr>
          <w:rFonts w:ascii="Open Sans" w:hAnsi="Open Sans" w:cs="Open Sans"/>
          <w:color w:val="3F373F"/>
        </w:rPr>
        <w:t xml:space="preserve">, </w:t>
      </w:r>
      <w:proofErr w:type="spellStart"/>
      <w:r>
        <w:rPr>
          <w:rFonts w:ascii="Open Sans" w:hAnsi="Open Sans" w:cs="Open Sans"/>
          <w:color w:val="3F373F"/>
        </w:rPr>
        <w:t>Möglichkeiten</w:t>
      </w:r>
      <w:proofErr w:type="spellEnd"/>
      <w:r>
        <w:rPr>
          <w:rFonts w:ascii="Open Sans" w:hAnsi="Open Sans" w:cs="Open Sans"/>
          <w:color w:val="3F373F"/>
        </w:rPr>
        <w:t xml:space="preserve"> der </w:t>
      </w:r>
      <w:proofErr w:type="spellStart"/>
      <w:r>
        <w:rPr>
          <w:rFonts w:ascii="Open Sans" w:hAnsi="Open Sans" w:cs="Open Sans"/>
          <w:color w:val="3F373F"/>
        </w:rPr>
        <w:t>Unterbringung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und</w:t>
      </w:r>
      <w:proofErr w:type="spellEnd"/>
      <w:r>
        <w:rPr>
          <w:rFonts w:ascii="Open Sans" w:hAnsi="Open Sans" w:cs="Open Sans"/>
          <w:color w:val="3F373F"/>
        </w:rPr>
        <w:t xml:space="preserve"> der </w:t>
      </w:r>
      <w:proofErr w:type="spellStart"/>
      <w:r>
        <w:rPr>
          <w:rFonts w:ascii="Open Sans" w:hAnsi="Open Sans" w:cs="Open Sans"/>
          <w:color w:val="3F373F"/>
        </w:rPr>
        <w:t>rechtlichen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Vertretung</w:t>
      </w:r>
      <w:proofErr w:type="spellEnd"/>
      <w:r>
        <w:rPr>
          <w:rFonts w:ascii="Open Sans" w:hAnsi="Open Sans" w:cs="Open Sans"/>
          <w:color w:val="3F373F"/>
        </w:rPr>
        <w:t xml:space="preserve"> der </w:t>
      </w:r>
      <w:proofErr w:type="spellStart"/>
      <w:r>
        <w:rPr>
          <w:rFonts w:ascii="Open Sans" w:hAnsi="Open Sans" w:cs="Open Sans"/>
          <w:color w:val="3F373F"/>
        </w:rPr>
        <w:t>Kinder</w:t>
      </w:r>
      <w:proofErr w:type="spellEnd"/>
      <w:r>
        <w:rPr>
          <w:rFonts w:ascii="Open Sans" w:hAnsi="Open Sans" w:cs="Open Sans"/>
          <w:color w:val="3F373F"/>
        </w:rPr>
        <w:t xml:space="preserve"> oder </w:t>
      </w:r>
      <w:proofErr w:type="spellStart"/>
      <w:r>
        <w:rPr>
          <w:rFonts w:ascii="Open Sans" w:hAnsi="Open Sans" w:cs="Open Sans"/>
          <w:color w:val="3F373F"/>
        </w:rPr>
        <w:t>Jugendlichen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abgeklärt</w:t>
      </w:r>
      <w:proofErr w:type="spellEnd"/>
      <w:r>
        <w:rPr>
          <w:rFonts w:ascii="Open Sans" w:hAnsi="Open Sans" w:cs="Open Sans"/>
          <w:color w:val="3F373F"/>
        </w:rPr>
        <w:t xml:space="preserve">. </w:t>
      </w:r>
      <w:proofErr w:type="spellStart"/>
      <w:r>
        <w:rPr>
          <w:rFonts w:ascii="Open Sans" w:hAnsi="Open Sans" w:cs="Open Sans"/>
          <w:color w:val="3F373F"/>
        </w:rPr>
        <w:t>Federführend</w:t>
      </w:r>
      <w:proofErr w:type="spellEnd"/>
      <w:r>
        <w:rPr>
          <w:rFonts w:ascii="Open Sans" w:hAnsi="Open Sans" w:cs="Open Sans"/>
          <w:color w:val="3F373F"/>
        </w:rPr>
        <w:t xml:space="preserve"> in </w:t>
      </w:r>
      <w:proofErr w:type="spellStart"/>
      <w:r>
        <w:rPr>
          <w:rFonts w:ascii="Open Sans" w:hAnsi="Open Sans" w:cs="Open Sans"/>
          <w:color w:val="3F373F"/>
        </w:rPr>
        <w:t>diesem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3F373F"/>
        </w:rPr>
        <w:t>Klärungsprozess</w:t>
      </w:r>
      <w:proofErr w:type="spellEnd"/>
      <w:r>
        <w:rPr>
          <w:rFonts w:ascii="Open Sans" w:hAnsi="Open Sans" w:cs="Open Sans"/>
          <w:color w:val="3F373F"/>
        </w:rPr>
        <w:t xml:space="preserve"> - </w:t>
      </w:r>
      <w:proofErr w:type="spellStart"/>
      <w:r>
        <w:rPr>
          <w:rFonts w:ascii="Open Sans" w:hAnsi="Open Sans" w:cs="Open Sans"/>
          <w:color w:val="3F373F"/>
        </w:rPr>
        <w:t>an</w:t>
      </w:r>
      <w:proofErr w:type="spellEnd"/>
      <w:proofErr w:type="gramEnd"/>
      <w:r>
        <w:rPr>
          <w:rFonts w:ascii="Open Sans" w:hAnsi="Open Sans" w:cs="Open Sans"/>
          <w:color w:val="3F373F"/>
        </w:rPr>
        <w:t xml:space="preserve"> dem </w:t>
      </w:r>
      <w:proofErr w:type="spellStart"/>
      <w:r>
        <w:rPr>
          <w:rFonts w:ascii="Open Sans" w:hAnsi="Open Sans" w:cs="Open Sans"/>
          <w:color w:val="3F373F"/>
        </w:rPr>
        <w:t>betreuende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Einrichtung</w:t>
      </w:r>
      <w:proofErr w:type="spellEnd"/>
      <w:r>
        <w:rPr>
          <w:rFonts w:ascii="Open Sans" w:hAnsi="Open Sans" w:cs="Open Sans"/>
          <w:color w:val="3F373F"/>
        </w:rPr>
        <w:t>, </w:t>
      </w:r>
      <w:proofErr w:type="spellStart"/>
      <w:r>
        <w:fldChar w:fldCharType="begin"/>
      </w:r>
      <w:r>
        <w:instrText xml:space="preserve"> HYPERLINK "https://www.caritas.de/glossare/vormundschaft" \o "" \t "_blank" </w:instrText>
      </w:r>
      <w:r>
        <w:fldChar w:fldCharType="separate"/>
      </w:r>
      <w:r>
        <w:rPr>
          <w:rStyle w:val="Hypertextovodkaz"/>
          <w:rFonts w:ascii="Open Sans" w:hAnsi="Open Sans" w:cs="Open Sans"/>
          <w:color w:val="CC1E1C"/>
          <w:bdr w:val="none" w:sz="0" w:space="0" w:color="auto" w:frame="1"/>
        </w:rPr>
        <w:t>Vormünder</w:t>
      </w:r>
      <w:proofErr w:type="spellEnd"/>
      <w:r>
        <w:fldChar w:fldCharType="end"/>
      </w:r>
      <w:r>
        <w:rPr>
          <w:rFonts w:ascii="Open Sans" w:hAnsi="Open Sans" w:cs="Open Sans"/>
          <w:color w:val="3F373F"/>
        </w:rPr>
        <w:t xml:space="preserve"> oder </w:t>
      </w:r>
      <w:proofErr w:type="spellStart"/>
      <w:r>
        <w:rPr>
          <w:rFonts w:ascii="Open Sans" w:hAnsi="Open Sans" w:cs="Open Sans"/>
          <w:color w:val="3F373F"/>
        </w:rPr>
        <w:t>andere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qualifizierte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Stellen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wie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Therapeut</w:t>
      </w:r>
      <w:proofErr w:type="spellEnd"/>
      <w:r>
        <w:rPr>
          <w:rFonts w:ascii="Open Sans" w:hAnsi="Open Sans" w:cs="Open Sans"/>
          <w:color w:val="3F373F"/>
        </w:rPr>
        <w:t>(</w:t>
      </w:r>
      <w:proofErr w:type="spellStart"/>
      <w:r>
        <w:rPr>
          <w:rFonts w:ascii="Open Sans" w:hAnsi="Open Sans" w:cs="Open Sans"/>
          <w:color w:val="3F373F"/>
        </w:rPr>
        <w:t>inn</w:t>
      </w:r>
      <w:proofErr w:type="spellEnd"/>
      <w:r>
        <w:rPr>
          <w:rFonts w:ascii="Open Sans" w:hAnsi="Open Sans" w:cs="Open Sans"/>
          <w:color w:val="3F373F"/>
        </w:rPr>
        <w:t xml:space="preserve">)en </w:t>
      </w:r>
      <w:proofErr w:type="spellStart"/>
      <w:r>
        <w:rPr>
          <w:rFonts w:ascii="Open Sans" w:hAnsi="Open Sans" w:cs="Open Sans"/>
          <w:color w:val="3F373F"/>
        </w:rPr>
        <w:t>beteiligt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werden</w:t>
      </w:r>
      <w:proofErr w:type="spellEnd"/>
      <w:r>
        <w:rPr>
          <w:rFonts w:ascii="Open Sans" w:hAnsi="Open Sans" w:cs="Open Sans"/>
          <w:color w:val="3F373F"/>
        </w:rPr>
        <w:t xml:space="preserve"> - </w:t>
      </w:r>
      <w:proofErr w:type="spellStart"/>
      <w:r>
        <w:rPr>
          <w:rFonts w:ascii="Open Sans" w:hAnsi="Open Sans" w:cs="Open Sans"/>
          <w:color w:val="3F373F"/>
        </w:rPr>
        <w:t>ist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das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Jugendamt</w:t>
      </w:r>
      <w:proofErr w:type="spellEnd"/>
      <w:r>
        <w:rPr>
          <w:rFonts w:ascii="Open Sans" w:hAnsi="Open Sans" w:cs="Open Sans"/>
          <w:color w:val="3F373F"/>
        </w:rPr>
        <w:t>. </w:t>
      </w:r>
    </w:p>
    <w:p w14:paraId="46B46E92" w14:textId="342CD993" w:rsidR="008A4423" w:rsidRDefault="008A4423" w:rsidP="00E571F8">
      <w:pPr>
        <w:rPr>
          <w:rFonts w:ascii="Open Sans" w:hAnsi="Open Sans" w:cs="Open Sans"/>
          <w:color w:val="3F373F"/>
        </w:rPr>
      </w:pPr>
      <w:r w:rsidRPr="008A4423">
        <w:rPr>
          <w:rFonts w:ascii="Open Sans" w:hAnsi="Open Sans" w:cs="Open Sans"/>
          <w:color w:val="3F373F"/>
        </w:rPr>
        <w:t xml:space="preserve">Die </w:t>
      </w:r>
      <w:proofErr w:type="spellStart"/>
      <w:r w:rsidRPr="008A4423">
        <w:rPr>
          <w:rFonts w:ascii="Open Sans" w:hAnsi="Open Sans" w:cs="Open Sans"/>
          <w:color w:val="3F373F"/>
        </w:rPr>
        <w:t>Clearingstelle</w:t>
      </w:r>
      <w:proofErr w:type="spellEnd"/>
      <w:r w:rsidRPr="008A4423">
        <w:rPr>
          <w:rFonts w:ascii="Open Sans" w:hAnsi="Open Sans" w:cs="Open Sans"/>
          <w:color w:val="3F373F"/>
        </w:rPr>
        <w:t xml:space="preserve"> der </w:t>
      </w:r>
      <w:proofErr w:type="spellStart"/>
      <w:r w:rsidRPr="008A4423">
        <w:rPr>
          <w:rFonts w:ascii="Open Sans" w:hAnsi="Open Sans" w:cs="Open Sans"/>
          <w:color w:val="3F373F"/>
        </w:rPr>
        <w:t>Deutschen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Rentenversicherung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>
        <w:rPr>
          <w:rFonts w:ascii="Open Sans" w:hAnsi="Open Sans" w:cs="Open Sans"/>
          <w:color w:val="3F373F"/>
        </w:rPr>
        <w:t>ist</w:t>
      </w:r>
      <w:proofErr w:type="spellEnd"/>
      <w:r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die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einzige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zuständige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b/>
          <w:bCs/>
          <w:color w:val="3F373F"/>
        </w:rPr>
        <w:t>Prüf</w:t>
      </w:r>
      <w:r w:rsidRPr="008A4423">
        <w:rPr>
          <w:rFonts w:ascii="Open Sans" w:hAnsi="Open Sans" w:cs="Open Sans"/>
          <w:color w:val="3F373F"/>
        </w:rPr>
        <w:t>stelle</w:t>
      </w:r>
      <w:proofErr w:type="spellEnd"/>
      <w:r w:rsidRPr="008A4423">
        <w:rPr>
          <w:rFonts w:ascii="Open Sans" w:hAnsi="Open Sans" w:cs="Open Sans"/>
          <w:color w:val="3F373F"/>
        </w:rPr>
        <w:t xml:space="preserve">, </w:t>
      </w:r>
      <w:proofErr w:type="spellStart"/>
      <w:r w:rsidRPr="008A4423">
        <w:rPr>
          <w:rFonts w:ascii="Open Sans" w:hAnsi="Open Sans" w:cs="Open Sans"/>
          <w:color w:val="3F373F"/>
        </w:rPr>
        <w:t>wenn</w:t>
      </w:r>
      <w:proofErr w:type="spellEnd"/>
      <w:r w:rsidRPr="008A4423">
        <w:rPr>
          <w:rFonts w:ascii="Open Sans" w:hAnsi="Open Sans" w:cs="Open Sans"/>
          <w:color w:val="3F373F"/>
        </w:rPr>
        <w:t xml:space="preserve"> es </w:t>
      </w:r>
      <w:proofErr w:type="spellStart"/>
      <w:r w:rsidRPr="008A4423">
        <w:rPr>
          <w:rFonts w:ascii="Open Sans" w:hAnsi="Open Sans" w:cs="Open Sans"/>
          <w:color w:val="3F373F"/>
        </w:rPr>
        <w:t>darum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geht</w:t>
      </w:r>
      <w:proofErr w:type="spellEnd"/>
      <w:r w:rsidRPr="008A4423">
        <w:rPr>
          <w:rFonts w:ascii="Open Sans" w:hAnsi="Open Sans" w:cs="Open Sans"/>
          <w:color w:val="3F373F"/>
        </w:rPr>
        <w:t xml:space="preserve">, </w:t>
      </w:r>
      <w:proofErr w:type="spellStart"/>
      <w:r w:rsidRPr="008A4423">
        <w:rPr>
          <w:rFonts w:ascii="Open Sans" w:hAnsi="Open Sans" w:cs="Open Sans"/>
          <w:b/>
          <w:bCs/>
          <w:color w:val="3F373F"/>
        </w:rPr>
        <w:t>Fragen</w:t>
      </w:r>
      <w:proofErr w:type="spellEnd"/>
      <w:r w:rsidRPr="008A4423">
        <w:rPr>
          <w:rFonts w:ascii="Open Sans" w:hAnsi="Open Sans" w:cs="Open Sans"/>
          <w:b/>
          <w:bCs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b/>
          <w:bCs/>
          <w:color w:val="3F373F"/>
        </w:rPr>
        <w:t>zum</w:t>
      </w:r>
      <w:proofErr w:type="spellEnd"/>
      <w:r w:rsidRPr="008A4423">
        <w:rPr>
          <w:rFonts w:ascii="Open Sans" w:hAnsi="Open Sans" w:cs="Open Sans"/>
          <w:b/>
          <w:bCs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b/>
          <w:bCs/>
          <w:color w:val="3F373F"/>
        </w:rPr>
        <w:t>Sozialversicherungsstatus</w:t>
      </w:r>
      <w:proofErr w:type="spellEnd"/>
      <w:r w:rsidRPr="008A4423">
        <w:rPr>
          <w:rFonts w:ascii="Open Sans" w:hAnsi="Open Sans" w:cs="Open Sans"/>
          <w:b/>
          <w:bCs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b/>
          <w:bCs/>
          <w:color w:val="3F373F"/>
        </w:rPr>
        <w:t>zu</w:t>
      </w:r>
      <w:proofErr w:type="spellEnd"/>
      <w:r w:rsidRPr="008A4423">
        <w:rPr>
          <w:rFonts w:ascii="Open Sans" w:hAnsi="Open Sans" w:cs="Open Sans"/>
          <w:b/>
          <w:bCs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b/>
          <w:bCs/>
          <w:color w:val="3F373F"/>
        </w:rPr>
        <w:t>klären</w:t>
      </w:r>
      <w:proofErr w:type="spellEnd"/>
      <w:r w:rsidRPr="008A4423">
        <w:rPr>
          <w:rFonts w:ascii="Open Sans" w:hAnsi="Open Sans" w:cs="Open Sans"/>
          <w:color w:val="3F373F"/>
        </w:rPr>
        <w:t xml:space="preserve">. In der </w:t>
      </w:r>
      <w:proofErr w:type="spellStart"/>
      <w:r w:rsidRPr="008A4423">
        <w:rPr>
          <w:rFonts w:ascii="Open Sans" w:hAnsi="Open Sans" w:cs="Open Sans"/>
          <w:color w:val="3F373F"/>
        </w:rPr>
        <w:t>Clearingstelle</w:t>
      </w:r>
      <w:proofErr w:type="spellEnd"/>
      <w:r w:rsidRPr="008A4423">
        <w:rPr>
          <w:rFonts w:ascii="Open Sans" w:hAnsi="Open Sans" w:cs="Open Sans"/>
          <w:color w:val="3F373F"/>
        </w:rPr>
        <w:t xml:space="preserve"> der </w:t>
      </w:r>
      <w:proofErr w:type="spellStart"/>
      <w:r w:rsidRPr="008A4423">
        <w:rPr>
          <w:rFonts w:ascii="Open Sans" w:hAnsi="Open Sans" w:cs="Open Sans"/>
          <w:color w:val="3F373F"/>
        </w:rPr>
        <w:t>Deutschen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Rentenversicherung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werden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jährlich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mehr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als</w:t>
      </w:r>
      <w:proofErr w:type="spellEnd"/>
      <w:r w:rsidRPr="008A4423">
        <w:rPr>
          <w:rFonts w:ascii="Open Sans" w:hAnsi="Open Sans" w:cs="Open Sans"/>
          <w:color w:val="3F373F"/>
        </w:rPr>
        <w:t xml:space="preserve"> 15.000 </w:t>
      </w:r>
      <w:proofErr w:type="spellStart"/>
      <w:r w:rsidRPr="008A4423">
        <w:rPr>
          <w:rFonts w:ascii="Open Sans" w:hAnsi="Open Sans" w:cs="Open Sans"/>
          <w:color w:val="3F373F"/>
        </w:rPr>
        <w:t>Verfahren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zur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Prüfung</w:t>
      </w:r>
      <w:proofErr w:type="spellEnd"/>
      <w:r w:rsidRPr="008A4423">
        <w:rPr>
          <w:rFonts w:ascii="Open Sans" w:hAnsi="Open Sans" w:cs="Open Sans"/>
          <w:color w:val="3F373F"/>
        </w:rPr>
        <w:t xml:space="preserve"> des Status von </w:t>
      </w:r>
      <w:proofErr w:type="spellStart"/>
      <w:r w:rsidRPr="008A4423">
        <w:rPr>
          <w:rFonts w:ascii="Open Sans" w:hAnsi="Open Sans" w:cs="Open Sans"/>
          <w:color w:val="3F373F"/>
        </w:rPr>
        <w:t>Geschäftsführern</w:t>
      </w:r>
      <w:proofErr w:type="spellEnd"/>
      <w:r w:rsidRPr="008A4423">
        <w:rPr>
          <w:rFonts w:ascii="Open Sans" w:hAnsi="Open Sans" w:cs="Open Sans"/>
          <w:color w:val="3F373F"/>
        </w:rPr>
        <w:t xml:space="preserve">, </w:t>
      </w:r>
      <w:proofErr w:type="spellStart"/>
      <w:r w:rsidRPr="008A4423">
        <w:rPr>
          <w:rFonts w:ascii="Open Sans" w:hAnsi="Open Sans" w:cs="Open Sans"/>
          <w:color w:val="3F373F"/>
        </w:rPr>
        <w:t>mitarbeitenden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Familienangehörigen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und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tlw</w:t>
      </w:r>
      <w:proofErr w:type="spellEnd"/>
      <w:r w:rsidRPr="008A4423">
        <w:rPr>
          <w:rFonts w:ascii="Open Sans" w:hAnsi="Open Sans" w:cs="Open Sans"/>
          <w:color w:val="3F373F"/>
        </w:rPr>
        <w:t xml:space="preserve">. </w:t>
      </w:r>
      <w:proofErr w:type="spellStart"/>
      <w:r w:rsidRPr="008A4423">
        <w:rPr>
          <w:rFonts w:ascii="Open Sans" w:hAnsi="Open Sans" w:cs="Open Sans"/>
          <w:color w:val="3F373F"/>
        </w:rPr>
        <w:t>auch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Selbstständigen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durchgeführt</w:t>
      </w:r>
      <w:proofErr w:type="spellEnd"/>
      <w:r w:rsidRPr="008A4423">
        <w:rPr>
          <w:rFonts w:ascii="Open Sans" w:hAnsi="Open Sans" w:cs="Open Sans"/>
          <w:color w:val="3F373F"/>
        </w:rPr>
        <w:t xml:space="preserve">. </w:t>
      </w:r>
      <w:proofErr w:type="spellStart"/>
      <w:r w:rsidRPr="008A4423">
        <w:rPr>
          <w:rFonts w:ascii="Open Sans" w:hAnsi="Open Sans" w:cs="Open Sans"/>
          <w:color w:val="3F373F"/>
        </w:rPr>
        <w:t>Diese</w:t>
      </w:r>
      <w:proofErr w:type="spellEnd"/>
      <w:r w:rsidRPr="008A4423">
        <w:rPr>
          <w:rFonts w:ascii="Open Sans" w:hAnsi="Open Sans" w:cs="Open Sans"/>
          <w:color w:val="3F373F"/>
        </w:rPr>
        <w:t xml:space="preserve"> so </w:t>
      </w:r>
      <w:proofErr w:type="spellStart"/>
      <w:r w:rsidRPr="008A4423">
        <w:rPr>
          <w:rFonts w:ascii="Open Sans" w:hAnsi="Open Sans" w:cs="Open Sans"/>
          <w:color w:val="3F373F"/>
        </w:rPr>
        <w:t>genannten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Statusfeststellungsverfahren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erfolgen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entweder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auf</w:t>
      </w:r>
      <w:proofErr w:type="spellEnd"/>
      <w:r w:rsidRPr="008A4423">
        <w:rPr>
          <w:rFonts w:ascii="Open Sans" w:hAnsi="Open Sans" w:cs="Open Sans"/>
          <w:color w:val="3F373F"/>
        </w:rPr>
        <w:t xml:space="preserve"> </w:t>
      </w:r>
      <w:proofErr w:type="spellStart"/>
      <w:r w:rsidRPr="008A4423">
        <w:rPr>
          <w:rFonts w:ascii="Open Sans" w:hAnsi="Open Sans" w:cs="Open Sans"/>
          <w:color w:val="3F373F"/>
        </w:rPr>
        <w:t>Antrag</w:t>
      </w:r>
      <w:proofErr w:type="spellEnd"/>
      <w:r w:rsidRPr="008A4423">
        <w:rPr>
          <w:rFonts w:ascii="Open Sans" w:hAnsi="Open Sans" w:cs="Open Sans"/>
          <w:color w:val="3F373F"/>
        </w:rPr>
        <w:t xml:space="preserve"> (</w:t>
      </w:r>
      <w:proofErr w:type="spellStart"/>
      <w:r w:rsidRPr="008A4423">
        <w:rPr>
          <w:rFonts w:ascii="Open Sans" w:hAnsi="Open Sans" w:cs="Open Sans"/>
          <w:color w:val="3F373F"/>
        </w:rPr>
        <w:t>Antragsverfahren</w:t>
      </w:r>
      <w:proofErr w:type="spellEnd"/>
      <w:r w:rsidRPr="008A4423">
        <w:rPr>
          <w:rFonts w:ascii="Open Sans" w:hAnsi="Open Sans" w:cs="Open Sans"/>
          <w:color w:val="3F373F"/>
        </w:rPr>
        <w:t xml:space="preserve">) oder </w:t>
      </w:r>
      <w:proofErr w:type="spellStart"/>
      <w:r w:rsidRPr="008A4423">
        <w:rPr>
          <w:rFonts w:ascii="Open Sans" w:hAnsi="Open Sans" w:cs="Open Sans"/>
          <w:color w:val="3F373F"/>
        </w:rPr>
        <w:t>obligatorisch</w:t>
      </w:r>
      <w:proofErr w:type="spellEnd"/>
      <w:r w:rsidRPr="008A4423">
        <w:rPr>
          <w:rFonts w:ascii="Open Sans" w:hAnsi="Open Sans" w:cs="Open Sans"/>
          <w:color w:val="3F373F"/>
        </w:rPr>
        <w:t>.</w:t>
      </w:r>
    </w:p>
    <w:p w14:paraId="6A736BF5" w14:textId="6D4EF783" w:rsidR="008A4423" w:rsidRDefault="00724C79" w:rsidP="00E571F8">
      <w:proofErr w:type="spellStart"/>
      <w:r>
        <w:t>Risko</w:t>
      </w:r>
      <w:proofErr w:type="spellEnd"/>
      <w:r>
        <w:t xml:space="preserve"> </w:t>
      </w:r>
      <w:proofErr w:type="spellStart"/>
      <w:r>
        <w:t>ersparen</w:t>
      </w:r>
      <w:proofErr w:type="spellEnd"/>
      <w:r>
        <w:t xml:space="preserve">: </w:t>
      </w:r>
      <w:proofErr w:type="spellStart"/>
      <w:r>
        <w:t>vyhout</w:t>
      </w:r>
      <w:proofErr w:type="spellEnd"/>
      <w:r>
        <w:t xml:space="preserve"> se riziku</w:t>
      </w:r>
    </w:p>
    <w:p w14:paraId="097A5BAC" w14:textId="681E3F69" w:rsidR="00724C79" w:rsidRDefault="005A453E" w:rsidP="00E571F8">
      <w:pPr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Wer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sich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dieses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 </w:t>
      </w:r>
      <w:r>
        <w:rPr>
          <w:rStyle w:val="Zdraznn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 xml:space="preserve">Risiko </w:t>
      </w:r>
      <w:proofErr w:type="spellStart"/>
      <w:r>
        <w:rPr>
          <w:rStyle w:val="Zdraznn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ersparen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könne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die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Daten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auch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im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Vorhinein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verschlüsseln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. </w:t>
      </w:r>
    </w:p>
    <w:p w14:paraId="6B7387BE" w14:textId="4A2B73BE" w:rsidR="005A453E" w:rsidRDefault="005A453E" w:rsidP="00E571F8">
      <w:pPr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14:paraId="00041346" w14:textId="201206C0" w:rsidR="005A453E" w:rsidRDefault="005A453E" w:rsidP="00E571F8">
      <w:pPr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Srov.</w:t>
      </w:r>
    </w:p>
    <w:p w14:paraId="6E99B190" w14:textId="7A4585BD" w:rsidR="005A453E" w:rsidRDefault="005A453E" w:rsidP="00E571F8">
      <w:hyperlink r:id="rId11" w:history="1">
        <w:r>
          <w:rPr>
            <w:rStyle w:val="Hypertextovodkaz"/>
          </w:rPr>
          <w:t>https://www.manpower.cz/manpower/cs/prace-na-hpp-a-status-osvc-vyhody-a-nevyhody/</w:t>
        </w:r>
      </w:hyperlink>
    </w:p>
    <w:p w14:paraId="5828A3B6" w14:textId="584C37D8" w:rsidR="005A453E" w:rsidRDefault="005A453E" w:rsidP="00E571F8">
      <w:r>
        <w:rPr>
          <w:rFonts w:ascii="Trebuchet MS" w:hAnsi="Trebuchet MS"/>
          <w:color w:val="333333"/>
          <w:shd w:val="clear" w:color="auto" w:fill="F6F6F7"/>
        </w:rPr>
        <w:t>Jestliže nastoupíte do firmy jako OSVČ a mzdu máte domluvenou, jistě bude </w:t>
      </w:r>
      <w:r>
        <w:rPr>
          <w:rStyle w:val="Siln"/>
          <w:rFonts w:ascii="Trebuchet MS" w:hAnsi="Trebuchet MS"/>
          <w:color w:val="333333"/>
          <w:shd w:val="clear" w:color="auto" w:fill="F6F6F7"/>
        </w:rPr>
        <w:t>vyšší než u kolegů</w:t>
      </w:r>
      <w:r>
        <w:rPr>
          <w:rFonts w:ascii="Trebuchet MS" w:hAnsi="Trebuchet MS"/>
          <w:color w:val="333333"/>
          <w:shd w:val="clear" w:color="auto" w:fill="F6F6F7"/>
        </w:rPr>
        <w:t> pracujících na stejné pozici na HPP. „Zaměstnavatel“ vám totiž může dát celou </w:t>
      </w:r>
      <w:r>
        <w:rPr>
          <w:rStyle w:val="Siln"/>
          <w:rFonts w:ascii="Trebuchet MS" w:hAnsi="Trebuchet MS"/>
          <w:color w:val="333333"/>
          <w:shd w:val="clear" w:color="auto" w:fill="F6F6F7"/>
        </w:rPr>
        <w:t>superhrubou mzdu</w:t>
      </w:r>
      <w:r>
        <w:rPr>
          <w:rFonts w:ascii="Trebuchet MS" w:hAnsi="Trebuchet MS"/>
          <w:color w:val="333333"/>
          <w:shd w:val="clear" w:color="auto" w:fill="F6F6F7"/>
        </w:rPr>
        <w:t xml:space="preserve"> (což je hrubá mzda pracovníka + 34 % navíc za zdravotní a sociální pojištění zaměstnavatele, které musí firma odvádět za každého zaměstnance), a </w:t>
      </w:r>
      <w:proofErr w:type="gramStart"/>
      <w:r>
        <w:rPr>
          <w:rFonts w:ascii="Trebuchet MS" w:hAnsi="Trebuchet MS"/>
          <w:color w:val="333333"/>
          <w:shd w:val="clear" w:color="auto" w:fill="F6F6F7"/>
        </w:rPr>
        <w:t>ne jen</w:t>
      </w:r>
      <w:proofErr w:type="gramEnd"/>
      <w:r>
        <w:rPr>
          <w:rFonts w:ascii="Trebuchet MS" w:hAnsi="Trebuchet MS"/>
          <w:color w:val="333333"/>
          <w:shd w:val="clear" w:color="auto" w:fill="F6F6F7"/>
        </w:rPr>
        <w:t xml:space="preserve"> její „čistou“ část. Vy jako OSVČ samozřejmě musíte </w:t>
      </w:r>
      <w:r>
        <w:rPr>
          <w:rStyle w:val="Siln"/>
          <w:rFonts w:ascii="Trebuchet MS" w:hAnsi="Trebuchet MS"/>
          <w:color w:val="333333"/>
          <w:shd w:val="clear" w:color="auto" w:fill="F6F6F7"/>
        </w:rPr>
        <w:t>daně a pojištění</w:t>
      </w:r>
      <w:r>
        <w:rPr>
          <w:rFonts w:ascii="Trebuchet MS" w:hAnsi="Trebuchet MS"/>
          <w:color w:val="333333"/>
          <w:shd w:val="clear" w:color="auto" w:fill="F6F6F7"/>
        </w:rPr>
        <w:t> odvádět taky, ale tyto částky zpravidla </w:t>
      </w:r>
      <w:r>
        <w:rPr>
          <w:rStyle w:val="Siln"/>
          <w:rFonts w:ascii="Trebuchet MS" w:hAnsi="Trebuchet MS"/>
          <w:color w:val="333333"/>
          <w:shd w:val="clear" w:color="auto" w:fill="F6F6F7"/>
        </w:rPr>
        <w:t>nejsou tak vysoké jako u HPP</w:t>
      </w:r>
      <w:r>
        <w:rPr>
          <w:rFonts w:ascii="Trebuchet MS" w:hAnsi="Trebuchet MS"/>
          <w:color w:val="333333"/>
          <w:shd w:val="clear" w:color="auto" w:fill="F6F6F7"/>
        </w:rPr>
        <w:t>.</w:t>
      </w:r>
      <w:bookmarkStart w:id="1" w:name="_GoBack"/>
      <w:bookmarkEnd w:id="1"/>
    </w:p>
    <w:sectPr w:rsidR="005A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Zdeněk Mareček" w:date="2020-03-17T23:40:00Z" w:initials="ZM">
    <w:p w14:paraId="3614D333" w14:textId="77777777" w:rsidR="00705C13" w:rsidRDefault="00705C13">
      <w:pPr>
        <w:pStyle w:val="Textkomente"/>
      </w:pPr>
      <w:r>
        <w:rPr>
          <w:rStyle w:val="Odkaznakoment"/>
        </w:rPr>
        <w:annotationRef/>
      </w:r>
      <w:r>
        <w:t xml:space="preserve">??? instrumentál? </w:t>
      </w:r>
      <w:proofErr w:type="spellStart"/>
      <w:r>
        <w:t>zozšířením</w:t>
      </w:r>
      <w:proofErr w:type="spellEnd"/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14D3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14D333" w16cid:durableId="221BDE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deněk Mareček">
    <w15:presenceInfo w15:providerId="None" w15:userId="Zdeněk Mare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13"/>
    <w:rsid w:val="000D7F69"/>
    <w:rsid w:val="003B6D6A"/>
    <w:rsid w:val="00543213"/>
    <w:rsid w:val="005A453E"/>
    <w:rsid w:val="0067595C"/>
    <w:rsid w:val="006D0BC3"/>
    <w:rsid w:val="00705C13"/>
    <w:rsid w:val="00724C79"/>
    <w:rsid w:val="00855DBF"/>
    <w:rsid w:val="008A4423"/>
    <w:rsid w:val="00947437"/>
    <w:rsid w:val="00CA49FE"/>
    <w:rsid w:val="00E37033"/>
    <w:rsid w:val="00E571F8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E5A5"/>
  <w15:chartTrackingRefBased/>
  <w15:docId w15:val="{BA636B14-8B61-4A2D-BF31-A3766C31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5C1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5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C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C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C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C13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A453E"/>
    <w:rPr>
      <w:i/>
      <w:iCs/>
    </w:rPr>
  </w:style>
  <w:style w:type="character" w:styleId="Siln">
    <w:name w:val="Strong"/>
    <w:basedOn w:val="Standardnpsmoodstavce"/>
    <w:uiPriority w:val="22"/>
    <w:qFormat/>
    <w:rsid w:val="005A4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OM:2008:0650:FIN:EN:PDF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hyperlink" Target="https://www.manpower.cz/manpower/cs/prace-na-hpp-a-status-osvc-vyhody-a-nevyhody/" TargetMode="External"/><Relationship Id="rId5" Type="http://schemas.openxmlformats.org/officeDocument/2006/relationships/comments" Target="comments.xml"/><Relationship Id="rId10" Type="http://schemas.openxmlformats.org/officeDocument/2006/relationships/hyperlink" Target="https://www.gesetze-im-internet.de/sgb_4/__28h.html" TargetMode="External"/><Relationship Id="rId4" Type="http://schemas.openxmlformats.org/officeDocument/2006/relationships/hyperlink" Target="http://eur-lex.europa.eu/LexUriServ/LexUriServ.do?uri=COM:2008:0650:FIN:DE:PDF" TargetMode="External"/><Relationship Id="rId9" Type="http://schemas.openxmlformats.org/officeDocument/2006/relationships/hyperlink" Target="http://www.zuboz.cz/wp-content/uploads/2015/10/Jak%C3%A9-znaky-m%C3%A1-z%C3%A1visl%C3%A1-pr%C3%A1c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dcterms:created xsi:type="dcterms:W3CDTF">2020-03-17T22:35:00Z</dcterms:created>
  <dcterms:modified xsi:type="dcterms:W3CDTF">2020-03-18T13:17:00Z</dcterms:modified>
</cp:coreProperties>
</file>