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C9" w:rsidRDefault="007A1A4A">
      <w:pPr>
        <w:spacing w:after="276" w:line="259" w:lineRule="auto"/>
      </w:pPr>
      <w:r>
        <w:rPr>
          <w:b/>
        </w:rPr>
        <w:t xml:space="preserve">11. </w:t>
      </w:r>
      <w:bookmarkStart w:id="0" w:name="_GoBack"/>
      <w:bookmarkEnd w:id="0"/>
      <w:r w:rsidR="00484198">
        <w:rPr>
          <w:b/>
        </w:rPr>
        <w:t>Vznik Biskupství brněnského jako součást rozsáhlé reformy církevní správy na Moravě</w:t>
      </w:r>
    </w:p>
    <w:p w:rsidR="002642C9" w:rsidRDefault="00484198">
      <w:pPr>
        <w:spacing w:after="293"/>
        <w:ind w:left="-5" w:right="3"/>
      </w:pPr>
      <w:r>
        <w:t xml:space="preserve">Vznik Biskupství brněnského je jedním z kroků ucelených církevně-správních reforem Marie Terezie a Josefa II. Zvlášť Josefa II. vnímáme v našich dějinách jako rušitele klášterů, tvůrce nové farní sítě, jako podmanitele církve, jako vydavatele tolerančního patentu, jako rušitele nevolnictví. To vše jsou nám docela obecně známá fakta. Přesto, že obsahují řadu pozitivních kroků, podvědomě je podle dosavadní „pohabsburské“ interpretace vnímáme s negativním nádechem. </w:t>
      </w:r>
    </w:p>
    <w:p w:rsidR="002642C9" w:rsidRDefault="00484198">
      <w:pPr>
        <w:pStyle w:val="Nadpis1"/>
        <w:tabs>
          <w:tab w:val="center" w:pos="450"/>
          <w:tab w:val="center" w:pos="1824"/>
        </w:tabs>
        <w:ind w:left="0" w:firstLine="0"/>
      </w:pPr>
      <w:r>
        <w:rPr>
          <w:rFonts w:ascii="Calibri" w:eastAsia="Calibri" w:hAnsi="Calibri" w:cs="Calibri"/>
          <w:b w:val="0"/>
          <w:i w:val="0"/>
          <w:sz w:val="22"/>
        </w:rPr>
        <w:tab/>
      </w:r>
      <w:r>
        <w:rPr>
          <w:i w:val="0"/>
        </w:rPr>
        <w:t>1.</w:t>
      </w:r>
      <w:r>
        <w:rPr>
          <w:i w:val="0"/>
        </w:rPr>
        <w:tab/>
        <w:t>Charakteristika doby</w:t>
      </w:r>
    </w:p>
    <w:p w:rsidR="002642C9" w:rsidRDefault="00484198">
      <w:pPr>
        <w:ind w:left="-5" w:right="3"/>
      </w:pPr>
      <w:r>
        <w:t xml:space="preserve">Uvědomme si, že v rámci monarchie probíhají zásadní reformní kroky od nástupu Marie Terezie na trůn 1740, pokračují i v době spoluvlády Marie Terezie a Josefa II. (1765-1780) a vrcholí v době samostatné vlády Josefa II. (1780-1790). </w:t>
      </w:r>
    </w:p>
    <w:p w:rsidR="002642C9" w:rsidRDefault="00484198">
      <w:pPr>
        <w:ind w:left="-5" w:right="3"/>
      </w:pPr>
      <w:r>
        <w:t xml:space="preserve">Mějme také na paměti, že v tomto období probíhá zásadní společenská proměna, kdy se mění starý feudální systém na systém nový, pro toto období říkáme byrokratický, ale vlastně se kladou základy občanskému systému – všichni obyvatelé si mají být rovni před zákonem. Privilegované vrstvy obyvatel jsou částečně omezovány ve svých právech, obyvatelé dosud ponecháni vrchnostem v jejich správě, jsou bráni státem v ochranu. V některých zemích probíhá tato proměna velmi krvavě, dostatečně odstrašujícím příkladem je Francie s Velkou francouzskou revolucí 1789. V našich zemích probíhá tato proměna dříve, navíc pokojnou cestou reformních kroků. Katolické smýšlení Marie Terezie a Josefa II. tu nepopiratelně sehrává svoji významnou roli. </w:t>
      </w:r>
    </w:p>
    <w:p w:rsidR="002642C9" w:rsidRDefault="00484198">
      <w:pPr>
        <w:ind w:left="-5" w:right="3"/>
      </w:pPr>
      <w:r>
        <w:t>Habsburští panovníci nebyli sami, kdo vytvářeli reformní program. Musíme mít na paměti, jaké duchovní ovzduší v této době Evropa dýchá. O jansenismu, febronianismu a episkopalismu se již zmínil</w:t>
      </w:r>
      <w:r w:rsidR="005A7911">
        <w:t>i.</w:t>
      </w:r>
    </w:p>
    <w:p w:rsidR="002642C9" w:rsidRDefault="00484198">
      <w:pPr>
        <w:ind w:left="-5" w:right="3"/>
      </w:pPr>
      <w:r>
        <w:t>Přehlédnout ale nemůžeme také zednářství a rosenkruciánství</w:t>
      </w:r>
      <w:r>
        <w:rPr>
          <w:i/>
          <w:u w:val="single" w:color="000000"/>
        </w:rPr>
        <w:t>,</w:t>
      </w:r>
      <w:r>
        <w:t xml:space="preserve"> vlastně nová „náboženství“, postavená na víře v rozum, která chtějí duchovně a mravně zušlechťovat člověka, dosáhnout vlády tolerance a humanity, ovšem to vše bez víry v Boha, který nám poslal svého Syna, aby nás vykoupil a spasil.</w:t>
      </w:r>
    </w:p>
    <w:p w:rsidR="002642C9" w:rsidRDefault="00484198">
      <w:pPr>
        <w:spacing w:after="340"/>
        <w:ind w:left="-5" w:right="3"/>
      </w:pPr>
      <w:r>
        <w:t>Všechny tyto duchovní proudy pronikají do zemí rakouského soustátí a navíc ovlivňují i řadu vysoce postavených duchovních osob jak v řeholní, tak diecézní oblasti.Toto vše musíme mít na paměti, chceme-li zvažovat reformní kroky Marie Terezie a Josefa II.</w:t>
      </w:r>
    </w:p>
    <w:p w:rsidR="002642C9" w:rsidRDefault="00484198">
      <w:pPr>
        <w:pStyle w:val="Nadpis1"/>
        <w:tabs>
          <w:tab w:val="center" w:pos="450"/>
          <w:tab w:val="center" w:pos="2234"/>
        </w:tabs>
        <w:ind w:left="0" w:firstLine="0"/>
      </w:pPr>
      <w:r>
        <w:rPr>
          <w:rFonts w:ascii="Calibri" w:eastAsia="Calibri" w:hAnsi="Calibri" w:cs="Calibri"/>
          <w:b w:val="0"/>
          <w:i w:val="0"/>
          <w:sz w:val="22"/>
        </w:rPr>
        <w:tab/>
      </w:r>
      <w:r>
        <w:rPr>
          <w:i w:val="0"/>
        </w:rPr>
        <w:t>2.</w:t>
      </w:r>
      <w:r>
        <w:rPr>
          <w:i w:val="0"/>
        </w:rPr>
        <w:tab/>
        <w:t>Následnost reformních kroků</w:t>
      </w:r>
    </w:p>
    <w:p w:rsidR="002642C9" w:rsidRDefault="00484198">
      <w:pPr>
        <w:ind w:left="-5" w:right="3"/>
      </w:pPr>
      <w:r>
        <w:t>Nemůžeme zde vypočítávat všechny reformní kroky, spokojme se tím, že si uvědomíme, že zasáhly do všech oblastí života: politické správy na všech úrovních - správy krajů, měst i vrchnostenské správy; ekonomické správy – obchod, výroba, daně; soudní správy. Významně reformou zasažena byla i oblast školská a církevní. Všechny oblasti života tehdejšího člověka byly reformními kroky proměňovány.</w:t>
      </w:r>
    </w:p>
    <w:p w:rsidR="002642C9" w:rsidRDefault="00484198">
      <w:pPr>
        <w:ind w:left="-5" w:right="3"/>
      </w:pPr>
      <w:r>
        <w:t xml:space="preserve">Takto výrazná přeměna státu vyžadovala součinnost všech společenských vrstev včetně církve. Záleží opět na úhlu pohledu jak zapojení církve do systému správy státu novou reformou vnímáme. Můžeme říci, že Marie Terezie a Josef II. využili církev jako nástroj, jako prodlouženou ruku svých reformních záměrů. Můžeme ale také říci, že oba panovníci si církve velmi vážili, brali ji v ochranu před novými „liberálními společenskými proudy“, které chtěli papeže i církev oslabit, a snažili se pozdvihnout prestiž katolických kněží i církve jako </w:t>
      </w:r>
      <w:r>
        <w:lastRenderedPageBreak/>
        <w:t>celku tím, že jim dávali mimořádné postavení jako ochránců práv poddaných vůči vrchnostem, jako významným vzdělavatelům (dohled na triviální i j. školy) a spolutvůrcům nového modelu správy státu. Snažili se církev učinit svým významný spolupracovníkem – partnerem při tvorbě moderního státu, čímž pokládali základy systému, který v řadě souvislostí dodnes využíváme.</w:t>
      </w:r>
    </w:p>
    <w:p w:rsidR="005A7911" w:rsidRDefault="005A7911">
      <w:pPr>
        <w:ind w:left="-5" w:right="3"/>
      </w:pPr>
    </w:p>
    <w:p w:rsidR="002642C9" w:rsidRDefault="00484198">
      <w:pPr>
        <w:pStyle w:val="Nadpis1"/>
        <w:tabs>
          <w:tab w:val="center" w:pos="450"/>
          <w:tab w:val="center" w:pos="2950"/>
        </w:tabs>
        <w:spacing w:after="253"/>
        <w:ind w:left="0" w:firstLine="0"/>
      </w:pPr>
      <w:r>
        <w:rPr>
          <w:rFonts w:ascii="Calibri" w:eastAsia="Calibri" w:hAnsi="Calibri" w:cs="Calibri"/>
          <w:b w:val="0"/>
          <w:i w:val="0"/>
          <w:sz w:val="22"/>
        </w:rPr>
        <w:tab/>
      </w:r>
      <w:r>
        <w:rPr>
          <w:i w:val="0"/>
        </w:rPr>
        <w:t>3.</w:t>
      </w:r>
      <w:r>
        <w:rPr>
          <w:i w:val="0"/>
        </w:rPr>
        <w:tab/>
        <w:t>Vlastní reforma církevní správy na Moravě</w:t>
      </w:r>
    </w:p>
    <w:p w:rsidR="002642C9" w:rsidRDefault="00484198">
      <w:pPr>
        <w:ind w:left="-5" w:right="3"/>
      </w:pPr>
      <w:r>
        <w:t>Husitskou sekularizací, poté luterskou a kalvínskou reformací 16. století byla oslabena katolická správa. Pražské arcibiskupství bylo dlouho v letech 14.- 15.</w:t>
      </w:r>
      <w:r w:rsidR="005A7911">
        <w:t xml:space="preserve"> století bez arcibiskupa, litomyšlské</w:t>
      </w:r>
      <w:r>
        <w:t xml:space="preserve"> biskupství zaniklo, řádně fungovalo pouze olomoucké biskupství v době husitských válek v pevných rukách biskupa Jana Železného, 1599-1636 vedené kardinálem Františkem z Dietrichštejna. V roce 1620 klesl počet farností na celé Moravě pouze na 320. Péčí dalších olomouckých biskupů, zvláště biskupa </w:t>
      </w:r>
      <w:r w:rsidRPr="005A7911">
        <w:rPr>
          <w:color w:val="FF0000"/>
        </w:rPr>
        <w:t>Karla z Lichtenštejna</w:t>
      </w:r>
      <w:r>
        <w:t xml:space="preserve">, počet farností značně vzrostl v roce </w:t>
      </w:r>
      <w:r w:rsidRPr="005A7911">
        <w:rPr>
          <w:color w:val="00B050"/>
        </w:rPr>
        <w:t>1710</w:t>
      </w:r>
      <w:r>
        <w:t xml:space="preserve"> na 478 far a 46 lokálních kaplanství (lokální kaplan vede duchovní správu u přifařeného kostela (localis cura animarum), podléhá faráři mateřského kostela a je povinen mu odvádět část štoly a desátku). Současně v roce </w:t>
      </w:r>
      <w:r w:rsidRPr="005A7911">
        <w:rPr>
          <w:color w:val="00B050"/>
        </w:rPr>
        <w:t>1710</w:t>
      </w:r>
      <w:r>
        <w:t xml:space="preserve"> působilo na Moravě 478 farářů +153 kaplanů. Následně i panovníci Josef I., Karel VI. nabádali k rozdělování větších farností. Olomoucká konsistoř uváděla v odpověď zásadní hlediska, jimiž se bránila rozdělování starých a zřizování nových farností. Hlavní argument zněl, že pro fungování farnosti je zapotřebí výnos 600 zl. ročně. V řadě farností je ale zaopatření mnohem menší a narůstá tak dluh. Rozdělením větších farností by dostatečné materiální zabezpečení i těchto far kleslo pod potřebnou mez.</w:t>
      </w:r>
    </w:p>
    <w:p w:rsidR="002642C9" w:rsidRDefault="00484198">
      <w:pPr>
        <w:ind w:left="-5" w:right="3"/>
      </w:pPr>
      <w:r>
        <w:t xml:space="preserve">Pro </w:t>
      </w:r>
      <w:r w:rsidRPr="005A7911">
        <w:rPr>
          <w:color w:val="FF0000"/>
        </w:rPr>
        <w:t xml:space="preserve">Marii Terezii </w:t>
      </w:r>
      <w:r>
        <w:t xml:space="preserve">i jejího syna </w:t>
      </w:r>
      <w:r w:rsidRPr="005A7911">
        <w:rPr>
          <w:color w:val="FF0000"/>
        </w:rPr>
        <w:t xml:space="preserve">Josefa II. </w:t>
      </w:r>
      <w:r>
        <w:t xml:space="preserve">bylo zřejmé, že k posílení duchovního života v zemi, s tím souvisejícího mírového soužití a růstu prosperity, je nezbytně nutné posílit síť duchovní správy zmenšením diecézních i farních obvodů – tedy rozšířením počtu diecézí a farností. </w:t>
      </w:r>
    </w:p>
    <w:p w:rsidR="002642C9" w:rsidRDefault="00484198">
      <w:pPr>
        <w:ind w:left="-5" w:right="3"/>
      </w:pPr>
      <w:r>
        <w:t xml:space="preserve">V tomto duchu se nesly všechny podniknuté průzkumy i uskutečňovaná opatření. V roce </w:t>
      </w:r>
      <w:r w:rsidRPr="005A7911">
        <w:rPr>
          <w:color w:val="00B050"/>
        </w:rPr>
        <w:t>1755</w:t>
      </w:r>
      <w:r>
        <w:t xml:space="preserve"> vybídla Marie Terezie všechny biskupy, aby dali v tajnosti pořídit seznamy všech far, u</w:t>
      </w:r>
      <w:r w:rsidR="005A7911">
        <w:t>vést i</w:t>
      </w:r>
      <w:r>
        <w:t xml:space="preserve"> počet přifařených vsí, jejich vzdálenost od farního kostela. Tyto údaje měly být podkladem pro převratnou úpravu farního systému z majetku velkých klášterů, jejichž příjmy byly ve Vídni také potají odhadovány.</w:t>
      </w:r>
      <w:r>
        <w:rPr>
          <w:vertAlign w:val="superscript"/>
        </w:rPr>
        <w:footnoteReference w:id="1"/>
      </w:r>
      <w:r>
        <w:t xml:space="preserve"> Měl být vytvořen náboženský fond a z něj fundovány nové farnosti a semináře pro nové kněze. Panovnice věc projednávala i s papežem </w:t>
      </w:r>
      <w:r w:rsidRPr="005A7911">
        <w:rPr>
          <w:color w:val="FF0000"/>
        </w:rPr>
        <w:t>Benediktem XIV</w:t>
      </w:r>
      <w:r w:rsidR="00D36171">
        <w:t xml:space="preserve"> (</w:t>
      </w:r>
      <w:r w:rsidR="00D36171" w:rsidRPr="00D36171">
        <w:rPr>
          <w:color w:val="00B050"/>
        </w:rPr>
        <w:t>1740-1758</w:t>
      </w:r>
      <w:r w:rsidR="00D36171">
        <w:t>).</w:t>
      </w:r>
      <w:r>
        <w:t xml:space="preserve"> Její stanovisko bylo podpořeno souhlasnými dopisy několika biskupů, např. i olomouckého biskupa </w:t>
      </w:r>
      <w:r w:rsidRPr="005A7911">
        <w:rPr>
          <w:color w:val="FF0000"/>
        </w:rPr>
        <w:t xml:space="preserve">Ferdinanda J. Troyera, </w:t>
      </w:r>
      <w:r>
        <w:t>který se systematicky otázkou rozšíření farní sítě ve své diecézi také zabýval. Dojednání a uskutečnění změny oddálilo vypuknutí sedmileté války.</w:t>
      </w:r>
    </w:p>
    <w:p w:rsidR="002642C9" w:rsidRDefault="00484198">
      <w:pPr>
        <w:ind w:left="-5" w:right="3"/>
      </w:pPr>
      <w:r>
        <w:t xml:space="preserve">Z poloviny 60. let 18. st. se dochovala statistika o farní síti na Moravě, nejhustší síť měla jižní </w:t>
      </w:r>
    </w:p>
    <w:p w:rsidR="002642C9" w:rsidRDefault="00484198">
      <w:pPr>
        <w:spacing w:after="327"/>
        <w:ind w:left="-5" w:right="3"/>
      </w:pPr>
      <w:r>
        <w:t>Morava, děkanáty Mikulov</w:t>
      </w:r>
      <w:r>
        <w:rPr>
          <w:vertAlign w:val="superscript"/>
        </w:rPr>
        <w:footnoteReference w:id="2"/>
      </w:r>
      <w:r>
        <w:t>, Podivín, Slavonice, Znojmo. Horší situace byla na západní Moravě.</w:t>
      </w:r>
      <w:r>
        <w:rPr>
          <w:vertAlign w:val="superscript"/>
        </w:rPr>
        <w:t>3</w:t>
      </w:r>
      <w:r>
        <w:t xml:space="preserve"> V děkanátu Holešov vycházelo v průměru na 1 faru 8,6 vsí. Dobrá duchovní péče byla na Bruntálsku, kde němečtí rytíři spravovali 41 vsí prostřednictvím 12 dobře dotovaných far.</w:t>
      </w:r>
      <w:r>
        <w:rPr>
          <w:vertAlign w:val="superscript"/>
        </w:rPr>
        <w:footnoteReference w:id="3"/>
      </w:r>
      <w:r>
        <w:t xml:space="preserve"> Situace na Moravě byla vcelku srovnatelná s rakouskými zeměmi. Podstatně jinak </w:t>
      </w:r>
      <w:r>
        <w:lastRenderedPageBreak/>
        <w:t>vypadala situace v západní Evropě.</w:t>
      </w:r>
      <w:r>
        <w:rPr>
          <w:vertAlign w:val="superscript"/>
        </w:rPr>
        <w:footnoteReference w:id="4"/>
      </w:r>
      <w:r>
        <w:t xml:space="preserve"> Na Moravě pak v přepočtu na 1 farnost připadá v průměru 1930 duší.</w:t>
      </w:r>
      <w:r>
        <w:rPr>
          <w:vertAlign w:val="superscript"/>
        </w:rPr>
        <w:footnoteReference w:id="5"/>
      </w:r>
    </w:p>
    <w:p w:rsidR="002642C9" w:rsidRDefault="00484198">
      <w:pPr>
        <w:pStyle w:val="Nadpis1"/>
        <w:ind w:left="-5"/>
      </w:pPr>
      <w:r>
        <w:t>Zřízení biskupství</w:t>
      </w:r>
    </w:p>
    <w:p w:rsidR="002642C9" w:rsidRDefault="00484198">
      <w:pPr>
        <w:ind w:left="-5" w:right="3"/>
      </w:pPr>
      <w:r>
        <w:t xml:space="preserve">V roce </w:t>
      </w:r>
      <w:r w:rsidRPr="00D36171">
        <w:rPr>
          <w:color w:val="00B050"/>
        </w:rPr>
        <w:t>1774</w:t>
      </w:r>
      <w:r>
        <w:t xml:space="preserve"> vyjednává Marie Terezie spolu s dvorskými úřady s papežem </w:t>
      </w:r>
      <w:r w:rsidRPr="005A7911">
        <w:rPr>
          <w:color w:val="FF0000"/>
        </w:rPr>
        <w:t>Klimentem XIV</w:t>
      </w:r>
      <w:r>
        <w:t xml:space="preserve">. o vytvoření moravské církevní provincie – povýšení olomouckého biskupství na arcibiskupství a zřízení biskupství v Brně a Opavě. K vlastnímu rozdělení olomoucké diecéze panovnice přistoupila až po smrti biskupa </w:t>
      </w:r>
      <w:r w:rsidRPr="00D36171">
        <w:rPr>
          <w:color w:val="FF0000"/>
        </w:rPr>
        <w:t xml:space="preserve">Maximiliána Hamiltona </w:t>
      </w:r>
      <w:r>
        <w:t xml:space="preserve">17. října 1776. Jako prvního brněnského biskupa vytipovala panovnice </w:t>
      </w:r>
      <w:r w:rsidRPr="00D36171">
        <w:rPr>
          <w:color w:val="FF0000"/>
        </w:rPr>
        <w:t xml:space="preserve">Matyáše Františka hraběte Chorinského z Ledské, </w:t>
      </w:r>
      <w:r>
        <w:t xml:space="preserve">dlouholetého kanovníka brněnské kolegiátní kapituly, od roku 1774 jejího probošta a současně světícího biskupa Olomouckého. Plánuje nové Brněnské biskupství materiálně zabezpečit proboštskými statky brněnské kapituly, statkem Chrlice a statkem Vyškovským. Vypracované návrhy Marie Terezie postoupila do Říma Apoštolskému stolci. Mezitím olomoucká kapitula 6. října 1777 zvolila za nového biskupa dosavadního kapitulního děkana </w:t>
      </w:r>
      <w:r w:rsidRPr="00D36171">
        <w:rPr>
          <w:color w:val="FF0000"/>
        </w:rPr>
        <w:t xml:space="preserve">Antonína Theodora Colloredo-Waldsee. </w:t>
      </w:r>
      <w:r>
        <w:t xml:space="preserve">Papež </w:t>
      </w:r>
      <w:r w:rsidRPr="00D36171">
        <w:rPr>
          <w:color w:val="FF0000"/>
        </w:rPr>
        <w:t>Pius VI</w:t>
      </w:r>
      <w:r>
        <w:t xml:space="preserve">. vydal </w:t>
      </w:r>
      <w:r w:rsidRPr="00D36171">
        <w:rPr>
          <w:color w:val="00B050"/>
        </w:rPr>
        <w:t>5. prosince 177</w:t>
      </w:r>
      <w:r>
        <w:t>7 čtyři buly, jimiž kroky panovnice potvrzuje. Jde o bulu o založení Brněnského biskupství vyčleněním z olomoucké diecéze a jí podřízené, o jmenování Matyáše Chorinského brněnským biskupem a o povýšení olomouckého biskupství na arcibiskupství.</w:t>
      </w:r>
    </w:p>
    <w:p w:rsidR="002642C9" w:rsidRDefault="00484198">
      <w:pPr>
        <w:ind w:left="-5" w:right="118"/>
      </w:pPr>
      <w:r>
        <w:t xml:space="preserve">Jednání designovaného biskupa o majetkové zabezpečení </w:t>
      </w:r>
      <w:r w:rsidR="00D36171">
        <w:t xml:space="preserve">nové diecéze </w:t>
      </w:r>
      <w:r>
        <w:t xml:space="preserve">nebyla snadná, proti postoupení vyškovského panství Brnu se postavila olomoucká kapitula. Matyáš Chorinský nakonec upustil i od reálného převzetí velkostatku Chrlice, ponechává jej arcibiskupovi, nechává si z něj prozatím vyplácet peněžní rentu, a to i proti námitkám brněnských kanovníků, že reálné převzetí statku a vlastní hospodaření je lepší než peněžní renta, která byla navíc podle robotního patentu z roku 1775 nižší než dříve a obnášela pouhých 14.000 zl. ročně. Oporou biskupa Chorinského se stal nově jmenovaný kanovník </w:t>
      </w:r>
      <w:r w:rsidRPr="00D36171">
        <w:rPr>
          <w:color w:val="FF0000"/>
        </w:rPr>
        <w:t xml:space="preserve">Karel Tauber z Taubenfurtu, </w:t>
      </w:r>
      <w:r>
        <w:t>dosavadní duchovní guberniální referent.</w:t>
      </w:r>
    </w:p>
    <w:p w:rsidR="002642C9" w:rsidRDefault="00484198">
      <w:pPr>
        <w:ind w:left="-5" w:right="3"/>
      </w:pPr>
      <w:r>
        <w:t xml:space="preserve">V roce </w:t>
      </w:r>
      <w:r w:rsidRPr="00D36171">
        <w:rPr>
          <w:color w:val="00B050"/>
        </w:rPr>
        <w:t>1777</w:t>
      </w:r>
      <w:r w:rsidR="00D36171">
        <w:t xml:space="preserve"> získává nově zřízené biskupství</w:t>
      </w:r>
      <w:r>
        <w:t xml:space="preserve"> 151 far ve Znojemském, Jihlavském a části </w:t>
      </w:r>
    </w:p>
    <w:p w:rsidR="002642C9" w:rsidRDefault="00484198">
      <w:pPr>
        <w:ind w:left="-5" w:right="3"/>
      </w:pPr>
      <w:r>
        <w:t>Brněnského kraje.</w:t>
      </w:r>
      <w:r>
        <w:rPr>
          <w:vertAlign w:val="superscript"/>
        </w:rPr>
        <w:footnoteReference w:id="6"/>
      </w:r>
      <w:r>
        <w:t xml:space="preserve"> Jsou rozloženy v 17 děkanátech - Brno, Modřice, Lomnice, Bystřice, </w:t>
      </w:r>
    </w:p>
    <w:p w:rsidR="002642C9" w:rsidRDefault="00484198">
      <w:pPr>
        <w:spacing w:after="335"/>
        <w:ind w:left="-5" w:right="3"/>
      </w:pPr>
      <w:r>
        <w:t xml:space="preserve">Velké Meziříčí, Měřín, Jihlava, Třebíč, Náměšť, Ivančice, Znojmo, Olbramovice, Hostěradice, Jaroměřice, Jevišovice, Telč, Slavonice. Nově jsou následně připojeny ještě 3 děkanáty – Dačice, Jemnice, Hrádek. K </w:t>
      </w:r>
      <w:r w:rsidRPr="00D36171">
        <w:rPr>
          <w:color w:val="00B050"/>
        </w:rPr>
        <w:t xml:space="preserve">1. 1. 1784 </w:t>
      </w:r>
      <w:r>
        <w:t xml:space="preserve">přibývá dalších 7 děkanátů – Bučovice, Hustopeče, Mikulov, Podivín, Vyškov, Židlochovice, Letovice. V roce 1786 je připojeno ještě dalších 10 děkanátů - Nové Město na Moravě, Želetava, Hrušovany, Slavkov, Vranov, Hodonín, Blansko, Jedovnice, Kuřim, Klobouky. Když je záhy zrušeno děkanství Slavonice ustaluje se v roce </w:t>
      </w:r>
      <w:r w:rsidRPr="00D36171">
        <w:rPr>
          <w:color w:val="00B050"/>
        </w:rPr>
        <w:t xml:space="preserve">1787 </w:t>
      </w:r>
      <w:r>
        <w:t>členění diecéze pro delší dobu na počtu 36 děkanství</w:t>
      </w:r>
      <w:r>
        <w:rPr>
          <w:b/>
          <w:i/>
        </w:rPr>
        <w:t>.</w:t>
      </w:r>
      <w:r>
        <w:rPr>
          <w:b/>
          <w:i/>
          <w:vertAlign w:val="superscript"/>
        </w:rPr>
        <w:footnoteReference w:id="7"/>
      </w:r>
    </w:p>
    <w:p w:rsidR="002642C9" w:rsidRDefault="00484198">
      <w:pPr>
        <w:pStyle w:val="Nadpis1"/>
        <w:ind w:left="-5"/>
      </w:pPr>
      <w:r>
        <w:t>Vztah Josefa II. a papeže</w:t>
      </w:r>
    </w:p>
    <w:p w:rsidR="002642C9" w:rsidRDefault="00484198">
      <w:pPr>
        <w:ind w:left="-5" w:right="3"/>
      </w:pPr>
      <w:r>
        <w:t xml:space="preserve">Představy Josefa II. o plánované reformě církevní správy v Habsburském soustátí, záměr zrušit řadu klášterů, posílit farní síť a obavy z odtržení rakouských zemí od Říma přiměly </w:t>
      </w:r>
      <w:r>
        <w:lastRenderedPageBreak/>
        <w:t xml:space="preserve">papeže Pia VI., aby se vypravil na pastorační cestu za Alpy, pokusit se rozmluvit císaři jeho záměry velkých zásahů do církevní správy. Je to první papežova cesta za Alpy od roku 1415. Papež přijíždí do Vídně před Velikonocemi </w:t>
      </w:r>
      <w:r w:rsidRPr="00D36171">
        <w:rPr>
          <w:color w:val="00B050"/>
        </w:rPr>
        <w:t>1782</w:t>
      </w:r>
      <w:r>
        <w:t>, všude po cestě je srdečně vítán katolickým obyvatelstvem, je tomu tak i v hlavním městě monarchie. Ve Vídni před Hofburgem, kde je papež ubytován, se denně schází tisíce poutníků, aby papeže pozdravili.</w:t>
      </w:r>
      <w:r>
        <w:rPr>
          <w:vertAlign w:val="superscript"/>
        </w:rPr>
        <w:footnoteReference w:id="8"/>
      </w:r>
      <w:r>
        <w:t xml:space="preserve"> Papežova návštěva má obrovský pastorační význam, je povzbuzením pro obnovu katolického života v zemi. Velmi laskavého přijetí se papeži dostává i od Josefa II. Oba „státníci“ si vcelku dobře porozuměli, i když se papeži nepodařilo císaře odradit od záměru rušit kláštery.</w:t>
      </w:r>
      <w:r>
        <w:rPr>
          <w:vertAlign w:val="superscript"/>
        </w:rPr>
        <w:footnoteReference w:id="9"/>
      </w:r>
      <w:r>
        <w:t xml:space="preserve"> Císař papeži návštěvu oplácí svou cestou do Říma.</w:t>
      </w:r>
    </w:p>
    <w:p w:rsidR="002642C9" w:rsidRDefault="00484198">
      <w:pPr>
        <w:pStyle w:val="Nadpis1"/>
        <w:ind w:left="-5"/>
      </w:pPr>
      <w:r>
        <w:t>Rušení klášterů</w:t>
      </w:r>
    </w:p>
    <w:p w:rsidR="002642C9" w:rsidRDefault="00484198">
      <w:pPr>
        <w:ind w:left="-5" w:right="3"/>
      </w:pPr>
      <w:r>
        <w:t xml:space="preserve">Po zrušení jezuitského řádu </w:t>
      </w:r>
      <w:r w:rsidRPr="00D36171">
        <w:rPr>
          <w:color w:val="00B050"/>
        </w:rPr>
        <w:t>1773</w:t>
      </w:r>
      <w:r>
        <w:t xml:space="preserve"> zůstává na Moravě a ve Slezsku ještě 83 klášterů a v nich žije 2022 řeholnic a řeholníků. V roce </w:t>
      </w:r>
      <w:r w:rsidRPr="00D36171">
        <w:rPr>
          <w:color w:val="00B050"/>
        </w:rPr>
        <w:t>1772</w:t>
      </w:r>
      <w:r>
        <w:t xml:space="preserve"> jsou 3/8 půdy v rukou duchovenstva, velkou část tohoto majetku tvoří klášterní statky.</w:t>
      </w:r>
      <w:r>
        <w:rPr>
          <w:vertAlign w:val="superscript"/>
        </w:rPr>
        <w:footnoteReference w:id="10"/>
      </w:r>
      <w:r>
        <w:t xml:space="preserve"> Dekrety z 12. ledna a 2. března 1782 byl ustaven náboženský fond. První vklad moravského fondu činily majetky zrušených klášterů Porta coeli v Předklášteří u Tišnova, kláštera cisterciaček na Starém Brně a kartuziánského kláštera v Králově Poli. Výnos činil 3,5 milionu zlatých, což se pro zamýšlenou reformu farní sítě jevilo stejně málo. Následovalo další rušení klášterů, které nevykonávají charitativní, sociální či vychovatelskou a vzdělávací činnost a přineslo dalších 5 412 335 zl. Z 83 na Moravě a ve Slezsku je zrušeno 38 klášterů.</w:t>
      </w:r>
    </w:p>
    <w:p w:rsidR="002642C9" w:rsidRDefault="00484198">
      <w:pPr>
        <w:spacing w:after="321"/>
        <w:ind w:left="-5" w:right="3"/>
      </w:pPr>
      <w:r>
        <w:t>Politickým důsledkem rušení klášterů bylo snížení počtu členů duchovenského stavu, kteří dosud zasedali na moravském zemském sněmu.</w:t>
      </w:r>
      <w:r>
        <w:rPr>
          <w:vertAlign w:val="superscript"/>
        </w:rPr>
        <w:footnoteReference w:id="11"/>
      </w:r>
    </w:p>
    <w:p w:rsidR="002642C9" w:rsidRDefault="00484198">
      <w:pPr>
        <w:pStyle w:val="Nadpis1"/>
        <w:ind w:left="-5"/>
      </w:pPr>
      <w:r>
        <w:t>Reforma farní sítě</w:t>
      </w:r>
    </w:p>
    <w:p w:rsidR="002642C9" w:rsidRDefault="00484198">
      <w:pPr>
        <w:ind w:left="-5" w:right="3"/>
      </w:pPr>
      <w:r>
        <w:t>V roce 1777 žádá Marie Terezie představné klášterů, aby uvolnili některé řeholní kněze a poslali je spravovat farnosti. Její požadavek zůstává ze strany řeholních představených bez odpovědi. Josef II. přebírá matčin plán a jedná. Jednak vyzývá biskupy k urychlenému rozdělování farností, ale po 8 měsíců nedostává žádné konkrétní podněty. Rozhoduje se tedy jednat z pozice panovníka, podle platné ústavy hlavního zákonodárce. Pro zřízení farnosti stanovuje nejnižší finanční limit 300 zl. ročně, v případě lokálního kaplanství pak pouze 150</w:t>
      </w:r>
      <w:r w:rsidR="00783224">
        <w:t>-</w:t>
      </w:r>
      <w:r>
        <w:t>180 zl. ročně. Tyto sumy jsou pak garantovány z náboženského fondu. Josef II. tím podněcuje a přikazuje zakládání farností, lokálních kaplanství a stavbu nových, prostých „josefínských“ kostelů:</w:t>
      </w:r>
    </w:p>
    <w:p w:rsidR="002642C9" w:rsidRDefault="00484198">
      <w:pPr>
        <w:numPr>
          <w:ilvl w:val="0"/>
          <w:numId w:val="1"/>
        </w:numPr>
        <w:ind w:right="833" w:hanging="360"/>
      </w:pPr>
      <w:r>
        <w:t>v místech těžko přístupných z mateřské farnosti,</w:t>
      </w:r>
    </w:p>
    <w:p w:rsidR="00783224" w:rsidRDefault="00484198">
      <w:pPr>
        <w:numPr>
          <w:ilvl w:val="0"/>
          <w:numId w:val="1"/>
        </w:numPr>
        <w:ind w:right="833" w:hanging="360"/>
      </w:pPr>
      <w:r>
        <w:t>ve vsích vzdálených víc jak hodinu chůze od farního kostela,</w:t>
      </w:r>
    </w:p>
    <w:p w:rsidR="002642C9" w:rsidRDefault="00484198">
      <w:pPr>
        <w:numPr>
          <w:ilvl w:val="0"/>
          <w:numId w:val="1"/>
        </w:numPr>
        <w:ind w:right="833" w:hanging="360"/>
      </w:pPr>
      <w:r>
        <w:t>v obcích nad 700 obyvatel.</w:t>
      </w:r>
    </w:p>
    <w:p w:rsidR="002642C9" w:rsidRDefault="00484198">
      <w:pPr>
        <w:spacing w:after="89"/>
        <w:ind w:left="-5" w:right="3"/>
      </w:pPr>
      <w:r>
        <w:t>V letech 1780-1790 vzniká v olomoucké arcidiecézi 126 lokálií.</w:t>
      </w:r>
      <w:r>
        <w:rPr>
          <w:vertAlign w:val="superscript"/>
        </w:rPr>
        <w:footnoteReference w:id="12"/>
      </w:r>
      <w:r>
        <w:t xml:space="preserve"> Při bližším pohledu na konkrétní děkanství můžeme zjistit, že počet nově vzniklých farních obvodů (včetně lokálních </w:t>
      </w:r>
      <w:r>
        <w:lastRenderedPageBreak/>
        <w:t>kaplanství) přesahuje jednu třetinu dnešního počtu farností.</w:t>
      </w:r>
      <w:r>
        <w:rPr>
          <w:vertAlign w:val="superscript"/>
        </w:rPr>
        <w:footnoteReference w:id="13"/>
      </w:r>
      <w:r>
        <w:t xml:space="preserve"> Nárůst je to obrovský, když uvážíme, že v dosavadním průběhu 18. počet farností pod vlivem tlaku panovníků i olomouckých biskupů vzrůstal, aby tak reagoval také na nárůst obyvatel.</w:t>
      </w:r>
    </w:p>
    <w:p w:rsidR="002642C9" w:rsidRDefault="00484198">
      <w:pPr>
        <w:spacing w:after="0" w:line="259" w:lineRule="auto"/>
        <w:ind w:left="0" w:right="519" w:firstLine="0"/>
        <w:jc w:val="center"/>
      </w:pPr>
      <w:r>
        <w:rPr>
          <w:rFonts w:ascii="Arial" w:eastAsia="Arial" w:hAnsi="Arial" w:cs="Arial"/>
          <w:sz w:val="20"/>
        </w:rPr>
        <w:t>Přehled obyvatel, kněží a farností na Moravě</w:t>
      </w:r>
    </w:p>
    <w:tbl>
      <w:tblPr>
        <w:tblStyle w:val="TableGrid"/>
        <w:tblW w:w="8698" w:type="dxa"/>
        <w:tblInd w:w="186" w:type="dxa"/>
        <w:tblCellMar>
          <w:top w:w="97" w:type="dxa"/>
          <w:left w:w="28" w:type="dxa"/>
          <w:bottom w:w="9" w:type="dxa"/>
          <w:right w:w="1" w:type="dxa"/>
        </w:tblCellMar>
        <w:tblLook w:val="04A0" w:firstRow="1" w:lastRow="0" w:firstColumn="1" w:lastColumn="0" w:noHBand="0" w:noVBand="1"/>
      </w:tblPr>
      <w:tblGrid>
        <w:gridCol w:w="740"/>
        <w:gridCol w:w="1326"/>
        <w:gridCol w:w="1293"/>
        <w:gridCol w:w="1326"/>
        <w:gridCol w:w="1181"/>
        <w:gridCol w:w="877"/>
        <w:gridCol w:w="686"/>
        <w:gridCol w:w="708"/>
        <w:gridCol w:w="561"/>
      </w:tblGrid>
      <w:tr w:rsidR="002642C9">
        <w:trPr>
          <w:trHeight w:val="300"/>
        </w:trPr>
        <w:tc>
          <w:tcPr>
            <w:tcW w:w="2065" w:type="dxa"/>
            <w:gridSpan w:val="2"/>
            <w:tcBorders>
              <w:top w:val="double" w:sz="6" w:space="0" w:color="000000"/>
              <w:left w:val="single" w:sz="5" w:space="0" w:color="000000"/>
              <w:bottom w:val="single" w:sz="9" w:space="0" w:color="000000"/>
              <w:right w:val="single" w:sz="12" w:space="0" w:color="000000"/>
            </w:tcBorders>
          </w:tcPr>
          <w:p w:rsidR="002642C9" w:rsidRDefault="002642C9">
            <w:pPr>
              <w:spacing w:after="160" w:line="259" w:lineRule="auto"/>
              <w:ind w:left="0" w:firstLine="0"/>
            </w:pPr>
          </w:p>
        </w:tc>
        <w:tc>
          <w:tcPr>
            <w:tcW w:w="1293" w:type="dxa"/>
            <w:tcBorders>
              <w:top w:val="double" w:sz="6" w:space="0" w:color="000000"/>
              <w:left w:val="single" w:sz="12" w:space="0" w:color="000000"/>
              <w:bottom w:val="single" w:sz="12" w:space="0" w:color="000000"/>
              <w:right w:val="single" w:sz="6" w:space="0" w:color="000000"/>
            </w:tcBorders>
            <w:vAlign w:val="bottom"/>
          </w:tcPr>
          <w:p w:rsidR="002642C9" w:rsidRDefault="00484198">
            <w:pPr>
              <w:spacing w:after="0" w:line="259" w:lineRule="auto"/>
              <w:ind w:left="1" w:firstLine="0"/>
            </w:pPr>
            <w:r>
              <w:rPr>
                <w:rFonts w:ascii="Arial" w:eastAsia="Arial" w:hAnsi="Arial" w:cs="Arial"/>
                <w:b/>
                <w:sz w:val="14"/>
              </w:rPr>
              <w:t>obyvatelé celkem</w:t>
            </w:r>
          </w:p>
        </w:tc>
        <w:tc>
          <w:tcPr>
            <w:tcW w:w="1326" w:type="dxa"/>
            <w:tcBorders>
              <w:top w:val="double" w:sz="6" w:space="0" w:color="000000"/>
              <w:left w:val="single" w:sz="6" w:space="0" w:color="000000"/>
              <w:bottom w:val="single" w:sz="12" w:space="0" w:color="000000"/>
              <w:right w:val="single" w:sz="5" w:space="0" w:color="000000"/>
            </w:tcBorders>
            <w:vAlign w:val="bottom"/>
          </w:tcPr>
          <w:p w:rsidR="002642C9" w:rsidRDefault="00484198">
            <w:pPr>
              <w:spacing w:after="0" w:line="259" w:lineRule="auto"/>
              <w:ind w:left="2" w:firstLine="0"/>
            </w:pPr>
            <w:r>
              <w:rPr>
                <w:rFonts w:ascii="Arial" w:eastAsia="Arial" w:hAnsi="Arial" w:cs="Arial"/>
                <w:b/>
                <w:sz w:val="14"/>
              </w:rPr>
              <w:t>katolíci celkem</w:t>
            </w:r>
          </w:p>
        </w:tc>
        <w:tc>
          <w:tcPr>
            <w:tcW w:w="1181" w:type="dxa"/>
            <w:tcBorders>
              <w:top w:val="double" w:sz="6" w:space="0" w:color="000000"/>
              <w:left w:val="single" w:sz="5" w:space="0" w:color="000000"/>
              <w:bottom w:val="single" w:sz="12" w:space="0" w:color="000000"/>
              <w:right w:val="single" w:sz="5" w:space="0" w:color="000000"/>
            </w:tcBorders>
            <w:vAlign w:val="bottom"/>
          </w:tcPr>
          <w:p w:rsidR="002642C9" w:rsidRDefault="00484198">
            <w:pPr>
              <w:spacing w:after="0" w:line="259" w:lineRule="auto"/>
              <w:ind w:left="1" w:firstLine="0"/>
            </w:pPr>
            <w:r>
              <w:rPr>
                <w:rFonts w:ascii="Arial" w:eastAsia="Arial" w:hAnsi="Arial" w:cs="Arial"/>
                <w:b/>
                <w:sz w:val="14"/>
              </w:rPr>
              <w:t>obyvatelé/1fara</w:t>
            </w:r>
          </w:p>
        </w:tc>
        <w:tc>
          <w:tcPr>
            <w:tcW w:w="877" w:type="dxa"/>
            <w:tcBorders>
              <w:top w:val="double" w:sz="6" w:space="0" w:color="000000"/>
              <w:left w:val="single" w:sz="5" w:space="0" w:color="000000"/>
              <w:bottom w:val="single" w:sz="12" w:space="0" w:color="000000"/>
              <w:right w:val="single" w:sz="6" w:space="0" w:color="000000"/>
            </w:tcBorders>
            <w:vAlign w:val="bottom"/>
          </w:tcPr>
          <w:p w:rsidR="002642C9" w:rsidRDefault="00484198">
            <w:pPr>
              <w:spacing w:after="0" w:line="259" w:lineRule="auto"/>
              <w:ind w:left="1" w:firstLine="0"/>
            </w:pPr>
            <w:r>
              <w:rPr>
                <w:rFonts w:ascii="Arial" w:eastAsia="Arial" w:hAnsi="Arial" w:cs="Arial"/>
                <w:b/>
                <w:sz w:val="14"/>
              </w:rPr>
              <w:t>katolíci/1k</w:t>
            </w:r>
          </w:p>
        </w:tc>
        <w:tc>
          <w:tcPr>
            <w:tcW w:w="686" w:type="dxa"/>
            <w:tcBorders>
              <w:top w:val="double" w:sz="6" w:space="0" w:color="000000"/>
              <w:left w:val="single" w:sz="6" w:space="0" w:color="000000"/>
              <w:bottom w:val="single" w:sz="12" w:space="0" w:color="000000"/>
              <w:right w:val="single" w:sz="6" w:space="0" w:color="000000"/>
            </w:tcBorders>
            <w:vAlign w:val="bottom"/>
          </w:tcPr>
          <w:p w:rsidR="002642C9" w:rsidRDefault="00484198">
            <w:pPr>
              <w:spacing w:after="0" w:line="259" w:lineRule="auto"/>
              <w:ind w:left="2" w:firstLine="0"/>
              <w:jc w:val="both"/>
            </w:pPr>
            <w:r>
              <w:rPr>
                <w:rFonts w:ascii="Arial" w:eastAsia="Arial" w:hAnsi="Arial" w:cs="Arial"/>
                <w:b/>
                <w:sz w:val="14"/>
              </w:rPr>
              <w:t>děkanství</w:t>
            </w:r>
          </w:p>
        </w:tc>
        <w:tc>
          <w:tcPr>
            <w:tcW w:w="708" w:type="dxa"/>
            <w:tcBorders>
              <w:top w:val="double" w:sz="6" w:space="0" w:color="000000"/>
              <w:left w:val="single" w:sz="6" w:space="0" w:color="000000"/>
              <w:bottom w:val="single" w:sz="12" w:space="0" w:color="000000"/>
              <w:right w:val="single" w:sz="6" w:space="0" w:color="000000"/>
            </w:tcBorders>
            <w:vAlign w:val="bottom"/>
          </w:tcPr>
          <w:p w:rsidR="002642C9" w:rsidRDefault="00484198">
            <w:pPr>
              <w:spacing w:after="0" w:line="259" w:lineRule="auto"/>
              <w:ind w:left="2" w:firstLine="0"/>
            </w:pPr>
            <w:r>
              <w:rPr>
                <w:rFonts w:ascii="Arial" w:eastAsia="Arial" w:hAnsi="Arial" w:cs="Arial"/>
                <w:b/>
                <w:sz w:val="14"/>
              </w:rPr>
              <w:t>farnosti</w:t>
            </w:r>
          </w:p>
        </w:tc>
        <w:tc>
          <w:tcPr>
            <w:tcW w:w="561" w:type="dxa"/>
            <w:tcBorders>
              <w:top w:val="double" w:sz="6" w:space="0" w:color="000000"/>
              <w:left w:val="single" w:sz="6" w:space="0" w:color="000000"/>
              <w:bottom w:val="single" w:sz="12" w:space="0" w:color="000000"/>
              <w:right w:val="single" w:sz="5" w:space="0" w:color="000000"/>
            </w:tcBorders>
            <w:vAlign w:val="bottom"/>
          </w:tcPr>
          <w:p w:rsidR="002642C9" w:rsidRDefault="00484198">
            <w:pPr>
              <w:spacing w:after="0" w:line="259" w:lineRule="auto"/>
              <w:ind w:left="2" w:firstLine="0"/>
            </w:pPr>
            <w:r>
              <w:rPr>
                <w:rFonts w:ascii="Arial" w:eastAsia="Arial" w:hAnsi="Arial" w:cs="Arial"/>
                <w:b/>
                <w:sz w:val="14"/>
              </w:rPr>
              <w:t>kněží</w:t>
            </w:r>
          </w:p>
        </w:tc>
      </w:tr>
      <w:tr w:rsidR="002642C9">
        <w:trPr>
          <w:trHeight w:val="299"/>
        </w:trPr>
        <w:tc>
          <w:tcPr>
            <w:tcW w:w="739" w:type="dxa"/>
            <w:tcBorders>
              <w:top w:val="single" w:sz="6" w:space="0" w:color="000000"/>
              <w:left w:val="single" w:sz="5" w:space="0" w:color="000000"/>
              <w:bottom w:val="single" w:sz="6" w:space="0" w:color="000000"/>
              <w:right w:val="single" w:sz="11" w:space="0" w:color="000000"/>
            </w:tcBorders>
            <w:vAlign w:val="bottom"/>
          </w:tcPr>
          <w:p w:rsidR="002642C9" w:rsidRDefault="00484198">
            <w:pPr>
              <w:spacing w:after="0" w:line="259" w:lineRule="auto"/>
              <w:ind w:left="0" w:right="27" w:firstLine="0"/>
              <w:jc w:val="right"/>
            </w:pPr>
            <w:r>
              <w:rPr>
                <w:rFonts w:ascii="Arial" w:eastAsia="Arial" w:hAnsi="Arial" w:cs="Arial"/>
                <w:sz w:val="14"/>
              </w:rPr>
              <w:t>1620</w:t>
            </w:r>
          </w:p>
        </w:tc>
        <w:tc>
          <w:tcPr>
            <w:tcW w:w="1326" w:type="dxa"/>
            <w:tcBorders>
              <w:top w:val="single" w:sz="12" w:space="0" w:color="000000"/>
              <w:left w:val="single" w:sz="11" w:space="0" w:color="000000"/>
              <w:bottom w:val="single" w:sz="6" w:space="0" w:color="000000"/>
              <w:right w:val="single" w:sz="12" w:space="0" w:color="000000"/>
            </w:tcBorders>
            <w:vAlign w:val="bottom"/>
          </w:tcPr>
          <w:p w:rsidR="002642C9" w:rsidRDefault="00484198">
            <w:pPr>
              <w:spacing w:after="0" w:line="259" w:lineRule="auto"/>
              <w:ind w:left="0" w:firstLine="0"/>
            </w:pPr>
            <w:r>
              <w:rPr>
                <w:rFonts w:ascii="Arial" w:eastAsia="Arial" w:hAnsi="Arial" w:cs="Arial"/>
                <w:sz w:val="14"/>
              </w:rPr>
              <w:t>Morava</w:t>
            </w:r>
          </w:p>
        </w:tc>
        <w:tc>
          <w:tcPr>
            <w:tcW w:w="1293" w:type="dxa"/>
            <w:tcBorders>
              <w:top w:val="single" w:sz="12" w:space="0" w:color="000000"/>
              <w:left w:val="single" w:sz="12" w:space="0" w:color="000000"/>
              <w:bottom w:val="single" w:sz="6" w:space="0" w:color="000000"/>
              <w:right w:val="single" w:sz="6" w:space="0" w:color="000000"/>
            </w:tcBorders>
          </w:tcPr>
          <w:p w:rsidR="002642C9" w:rsidRDefault="002642C9">
            <w:pPr>
              <w:spacing w:after="160" w:line="259" w:lineRule="auto"/>
              <w:ind w:left="0" w:firstLine="0"/>
            </w:pPr>
          </w:p>
        </w:tc>
        <w:tc>
          <w:tcPr>
            <w:tcW w:w="1326" w:type="dxa"/>
            <w:tcBorders>
              <w:top w:val="single" w:sz="12" w:space="0" w:color="000000"/>
              <w:left w:val="single" w:sz="6" w:space="0" w:color="000000"/>
              <w:bottom w:val="single" w:sz="6" w:space="0" w:color="000000"/>
              <w:right w:val="single" w:sz="5" w:space="0" w:color="000000"/>
            </w:tcBorders>
          </w:tcPr>
          <w:p w:rsidR="002642C9" w:rsidRDefault="002642C9">
            <w:pPr>
              <w:spacing w:after="160" w:line="259" w:lineRule="auto"/>
              <w:ind w:left="0" w:firstLine="0"/>
            </w:pPr>
          </w:p>
        </w:tc>
        <w:tc>
          <w:tcPr>
            <w:tcW w:w="1181" w:type="dxa"/>
            <w:tcBorders>
              <w:top w:val="single" w:sz="12" w:space="0" w:color="000000"/>
              <w:left w:val="single" w:sz="5" w:space="0" w:color="000000"/>
              <w:bottom w:val="single" w:sz="6" w:space="0" w:color="000000"/>
              <w:right w:val="single" w:sz="5" w:space="0" w:color="000000"/>
            </w:tcBorders>
          </w:tcPr>
          <w:p w:rsidR="002642C9" w:rsidRDefault="002642C9">
            <w:pPr>
              <w:spacing w:after="160" w:line="259" w:lineRule="auto"/>
              <w:ind w:left="0" w:firstLine="0"/>
            </w:pPr>
          </w:p>
        </w:tc>
        <w:tc>
          <w:tcPr>
            <w:tcW w:w="877" w:type="dxa"/>
            <w:tcBorders>
              <w:top w:val="single" w:sz="12" w:space="0" w:color="000000"/>
              <w:left w:val="single" w:sz="5" w:space="0" w:color="000000"/>
              <w:bottom w:val="single" w:sz="6" w:space="0" w:color="000000"/>
              <w:right w:val="single" w:sz="6" w:space="0" w:color="000000"/>
            </w:tcBorders>
          </w:tcPr>
          <w:p w:rsidR="002642C9" w:rsidRDefault="002642C9">
            <w:pPr>
              <w:spacing w:after="160" w:line="259" w:lineRule="auto"/>
              <w:ind w:left="0" w:firstLine="0"/>
            </w:pPr>
          </w:p>
        </w:tc>
        <w:tc>
          <w:tcPr>
            <w:tcW w:w="686" w:type="dxa"/>
            <w:tcBorders>
              <w:top w:val="single" w:sz="12" w:space="0" w:color="000000"/>
              <w:left w:val="single" w:sz="6" w:space="0" w:color="000000"/>
              <w:bottom w:val="single" w:sz="6" w:space="0" w:color="000000"/>
              <w:right w:val="single" w:sz="6" w:space="0" w:color="000000"/>
            </w:tcBorders>
          </w:tcPr>
          <w:p w:rsidR="002642C9" w:rsidRDefault="002642C9">
            <w:pPr>
              <w:spacing w:after="160" w:line="259" w:lineRule="auto"/>
              <w:ind w:left="0" w:firstLine="0"/>
            </w:pPr>
          </w:p>
        </w:tc>
        <w:tc>
          <w:tcPr>
            <w:tcW w:w="708" w:type="dxa"/>
            <w:tcBorders>
              <w:top w:val="single" w:sz="12" w:space="0" w:color="000000"/>
              <w:left w:val="single" w:sz="6" w:space="0" w:color="000000"/>
              <w:bottom w:val="single" w:sz="6" w:space="0" w:color="000000"/>
              <w:right w:val="single" w:sz="6" w:space="0" w:color="000000"/>
            </w:tcBorders>
          </w:tcPr>
          <w:p w:rsidR="002642C9" w:rsidRDefault="00484198">
            <w:pPr>
              <w:spacing w:after="0" w:line="259" w:lineRule="auto"/>
              <w:ind w:left="0" w:right="11" w:firstLine="0"/>
              <w:jc w:val="center"/>
            </w:pPr>
            <w:r>
              <w:rPr>
                <w:rFonts w:ascii="Arial" w:eastAsia="Arial" w:hAnsi="Arial" w:cs="Arial"/>
                <w:sz w:val="14"/>
              </w:rPr>
              <w:t>320</w:t>
            </w:r>
          </w:p>
        </w:tc>
        <w:tc>
          <w:tcPr>
            <w:tcW w:w="561" w:type="dxa"/>
            <w:tcBorders>
              <w:top w:val="single" w:sz="12" w:space="0" w:color="000000"/>
              <w:left w:val="single" w:sz="6" w:space="0" w:color="000000"/>
              <w:bottom w:val="single" w:sz="6" w:space="0" w:color="000000"/>
              <w:right w:val="single" w:sz="5" w:space="0" w:color="000000"/>
            </w:tcBorders>
          </w:tcPr>
          <w:p w:rsidR="002642C9" w:rsidRDefault="002642C9">
            <w:pPr>
              <w:spacing w:after="160" w:line="259" w:lineRule="auto"/>
              <w:ind w:left="0" w:firstLine="0"/>
            </w:pPr>
          </w:p>
        </w:tc>
      </w:tr>
      <w:tr w:rsidR="002642C9">
        <w:trPr>
          <w:trHeight w:val="300"/>
        </w:trPr>
        <w:tc>
          <w:tcPr>
            <w:tcW w:w="739" w:type="dxa"/>
            <w:tcBorders>
              <w:top w:val="single" w:sz="6" w:space="0" w:color="000000"/>
              <w:left w:val="single" w:sz="5" w:space="0" w:color="000000"/>
              <w:bottom w:val="single" w:sz="6" w:space="0" w:color="000000"/>
              <w:right w:val="single" w:sz="11" w:space="0" w:color="000000"/>
            </w:tcBorders>
            <w:vAlign w:val="bottom"/>
          </w:tcPr>
          <w:p w:rsidR="002642C9" w:rsidRDefault="00484198">
            <w:pPr>
              <w:spacing w:after="0" w:line="259" w:lineRule="auto"/>
              <w:ind w:left="0" w:right="27" w:firstLine="0"/>
              <w:jc w:val="right"/>
            </w:pPr>
            <w:r>
              <w:rPr>
                <w:rFonts w:ascii="Arial" w:eastAsia="Arial" w:hAnsi="Arial" w:cs="Arial"/>
                <w:sz w:val="14"/>
              </w:rPr>
              <w:t>1710</w:t>
            </w:r>
          </w:p>
        </w:tc>
        <w:tc>
          <w:tcPr>
            <w:tcW w:w="1326" w:type="dxa"/>
            <w:tcBorders>
              <w:top w:val="single" w:sz="6" w:space="0" w:color="000000"/>
              <w:left w:val="single" w:sz="11" w:space="0" w:color="000000"/>
              <w:bottom w:val="single" w:sz="6" w:space="0" w:color="000000"/>
              <w:right w:val="single" w:sz="12" w:space="0" w:color="000000"/>
            </w:tcBorders>
            <w:vAlign w:val="bottom"/>
          </w:tcPr>
          <w:p w:rsidR="002642C9" w:rsidRDefault="00484198">
            <w:pPr>
              <w:spacing w:after="0" w:line="259" w:lineRule="auto"/>
              <w:ind w:left="0" w:firstLine="0"/>
            </w:pPr>
            <w:r>
              <w:rPr>
                <w:rFonts w:ascii="Arial" w:eastAsia="Arial" w:hAnsi="Arial" w:cs="Arial"/>
                <w:sz w:val="14"/>
              </w:rPr>
              <w:t>Morava</w:t>
            </w:r>
          </w:p>
        </w:tc>
        <w:tc>
          <w:tcPr>
            <w:tcW w:w="1293" w:type="dxa"/>
            <w:tcBorders>
              <w:top w:val="single" w:sz="6" w:space="0" w:color="000000"/>
              <w:left w:val="single" w:sz="12" w:space="0" w:color="000000"/>
              <w:bottom w:val="single" w:sz="6" w:space="0" w:color="000000"/>
              <w:right w:val="single" w:sz="6" w:space="0" w:color="000000"/>
            </w:tcBorders>
          </w:tcPr>
          <w:p w:rsidR="002642C9" w:rsidRDefault="00484198">
            <w:pPr>
              <w:spacing w:after="0" w:line="259" w:lineRule="auto"/>
              <w:ind w:left="0" w:right="12" w:firstLine="0"/>
              <w:jc w:val="center"/>
            </w:pPr>
            <w:r>
              <w:rPr>
                <w:rFonts w:ascii="Arial" w:eastAsia="Arial" w:hAnsi="Arial" w:cs="Arial"/>
                <w:sz w:val="14"/>
              </w:rPr>
              <w:t>900 000</w:t>
            </w:r>
          </w:p>
        </w:tc>
        <w:tc>
          <w:tcPr>
            <w:tcW w:w="1326" w:type="dxa"/>
            <w:tcBorders>
              <w:top w:val="single" w:sz="6" w:space="0" w:color="000000"/>
              <w:left w:val="single" w:sz="6" w:space="0" w:color="000000"/>
              <w:bottom w:val="single" w:sz="6" w:space="0" w:color="000000"/>
              <w:right w:val="single" w:sz="5" w:space="0" w:color="000000"/>
            </w:tcBorders>
          </w:tcPr>
          <w:p w:rsidR="002642C9" w:rsidRDefault="002642C9">
            <w:pPr>
              <w:spacing w:after="160" w:line="259" w:lineRule="auto"/>
              <w:ind w:left="0" w:firstLine="0"/>
            </w:pPr>
          </w:p>
        </w:tc>
        <w:tc>
          <w:tcPr>
            <w:tcW w:w="1181" w:type="dxa"/>
            <w:tcBorders>
              <w:top w:val="single" w:sz="6" w:space="0" w:color="000000"/>
              <w:left w:val="single" w:sz="5" w:space="0" w:color="000000"/>
              <w:bottom w:val="single" w:sz="6" w:space="0" w:color="000000"/>
              <w:right w:val="single" w:sz="5" w:space="0" w:color="000000"/>
            </w:tcBorders>
          </w:tcPr>
          <w:p w:rsidR="002642C9" w:rsidRDefault="00484198">
            <w:pPr>
              <w:spacing w:after="0" w:line="259" w:lineRule="auto"/>
              <w:ind w:left="0" w:right="14" w:firstLine="0"/>
              <w:jc w:val="center"/>
            </w:pPr>
            <w:r>
              <w:rPr>
                <w:rFonts w:ascii="Arial" w:eastAsia="Arial" w:hAnsi="Arial" w:cs="Arial"/>
                <w:sz w:val="14"/>
              </w:rPr>
              <w:t>1 800</w:t>
            </w:r>
          </w:p>
        </w:tc>
        <w:tc>
          <w:tcPr>
            <w:tcW w:w="877" w:type="dxa"/>
            <w:tcBorders>
              <w:top w:val="single" w:sz="6" w:space="0" w:color="000000"/>
              <w:left w:val="single" w:sz="5" w:space="0" w:color="000000"/>
              <w:bottom w:val="single" w:sz="6" w:space="0" w:color="000000"/>
              <w:right w:val="single" w:sz="6" w:space="0" w:color="000000"/>
            </w:tcBorders>
          </w:tcPr>
          <w:p w:rsidR="002642C9" w:rsidRDefault="002642C9">
            <w:pPr>
              <w:spacing w:after="160" w:line="259" w:lineRule="auto"/>
              <w:ind w:left="0" w:firstLine="0"/>
            </w:pPr>
          </w:p>
        </w:tc>
        <w:tc>
          <w:tcPr>
            <w:tcW w:w="686" w:type="dxa"/>
            <w:tcBorders>
              <w:top w:val="single" w:sz="6" w:space="0" w:color="000000"/>
              <w:left w:val="single" w:sz="6" w:space="0" w:color="000000"/>
              <w:bottom w:val="single" w:sz="6" w:space="0" w:color="000000"/>
              <w:right w:val="single" w:sz="6" w:space="0" w:color="000000"/>
            </w:tcBorders>
          </w:tcPr>
          <w:p w:rsidR="002642C9" w:rsidRDefault="002642C9">
            <w:pPr>
              <w:spacing w:after="160" w:line="259" w:lineRule="auto"/>
              <w:ind w:left="0" w:firstLine="0"/>
            </w:pPr>
          </w:p>
        </w:tc>
        <w:tc>
          <w:tcPr>
            <w:tcW w:w="708" w:type="dxa"/>
            <w:tcBorders>
              <w:top w:val="single" w:sz="6" w:space="0" w:color="000000"/>
              <w:left w:val="single" w:sz="6" w:space="0" w:color="000000"/>
              <w:bottom w:val="single" w:sz="6" w:space="0" w:color="000000"/>
              <w:right w:val="single" w:sz="6" w:space="0" w:color="000000"/>
            </w:tcBorders>
          </w:tcPr>
          <w:p w:rsidR="002642C9" w:rsidRDefault="00484198">
            <w:pPr>
              <w:spacing w:after="0" w:line="259" w:lineRule="auto"/>
              <w:ind w:left="0" w:right="11" w:firstLine="0"/>
              <w:jc w:val="center"/>
            </w:pPr>
            <w:r>
              <w:rPr>
                <w:rFonts w:ascii="Arial" w:eastAsia="Arial" w:hAnsi="Arial" w:cs="Arial"/>
                <w:sz w:val="14"/>
              </w:rPr>
              <w:t>478</w:t>
            </w:r>
          </w:p>
        </w:tc>
        <w:tc>
          <w:tcPr>
            <w:tcW w:w="561" w:type="dxa"/>
            <w:tcBorders>
              <w:top w:val="single" w:sz="6" w:space="0" w:color="000000"/>
              <w:left w:val="single" w:sz="6" w:space="0" w:color="000000"/>
              <w:bottom w:val="single" w:sz="6" w:space="0" w:color="000000"/>
              <w:right w:val="single" w:sz="5" w:space="0" w:color="000000"/>
            </w:tcBorders>
          </w:tcPr>
          <w:p w:rsidR="002642C9" w:rsidRDefault="00484198">
            <w:pPr>
              <w:spacing w:after="0" w:line="259" w:lineRule="auto"/>
              <w:ind w:left="1" w:firstLine="0"/>
              <w:jc w:val="center"/>
            </w:pPr>
            <w:r>
              <w:rPr>
                <w:rFonts w:ascii="Arial" w:eastAsia="Arial" w:hAnsi="Arial" w:cs="Arial"/>
                <w:sz w:val="14"/>
              </w:rPr>
              <w:t>630</w:t>
            </w:r>
          </w:p>
        </w:tc>
      </w:tr>
      <w:tr w:rsidR="002642C9">
        <w:trPr>
          <w:trHeight w:val="301"/>
        </w:trPr>
        <w:tc>
          <w:tcPr>
            <w:tcW w:w="739" w:type="dxa"/>
            <w:tcBorders>
              <w:top w:val="single" w:sz="6" w:space="0" w:color="000000"/>
              <w:left w:val="single" w:sz="5" w:space="0" w:color="000000"/>
              <w:bottom w:val="single" w:sz="5" w:space="0" w:color="000000"/>
              <w:right w:val="single" w:sz="11" w:space="0" w:color="000000"/>
            </w:tcBorders>
            <w:vAlign w:val="bottom"/>
          </w:tcPr>
          <w:p w:rsidR="002642C9" w:rsidRDefault="00484198">
            <w:pPr>
              <w:spacing w:after="0" w:line="259" w:lineRule="auto"/>
              <w:ind w:left="0" w:right="27" w:firstLine="0"/>
              <w:jc w:val="right"/>
            </w:pPr>
            <w:r>
              <w:rPr>
                <w:rFonts w:ascii="Arial" w:eastAsia="Arial" w:hAnsi="Arial" w:cs="Arial"/>
                <w:sz w:val="14"/>
              </w:rPr>
              <w:t>1777</w:t>
            </w:r>
          </w:p>
        </w:tc>
        <w:tc>
          <w:tcPr>
            <w:tcW w:w="1326" w:type="dxa"/>
            <w:tcBorders>
              <w:top w:val="single" w:sz="6" w:space="0" w:color="000000"/>
              <w:left w:val="single" w:sz="11" w:space="0" w:color="000000"/>
              <w:bottom w:val="single" w:sz="5" w:space="0" w:color="000000"/>
              <w:right w:val="single" w:sz="12" w:space="0" w:color="000000"/>
            </w:tcBorders>
            <w:vAlign w:val="bottom"/>
          </w:tcPr>
          <w:p w:rsidR="002642C9" w:rsidRDefault="00484198">
            <w:pPr>
              <w:spacing w:after="0" w:line="259" w:lineRule="auto"/>
              <w:ind w:left="0" w:firstLine="0"/>
            </w:pPr>
            <w:r>
              <w:rPr>
                <w:rFonts w:ascii="Arial" w:eastAsia="Arial" w:hAnsi="Arial" w:cs="Arial"/>
                <w:sz w:val="14"/>
              </w:rPr>
              <w:t>Morava</w:t>
            </w:r>
          </w:p>
        </w:tc>
        <w:tc>
          <w:tcPr>
            <w:tcW w:w="1293" w:type="dxa"/>
            <w:tcBorders>
              <w:top w:val="single" w:sz="6" w:space="0" w:color="000000"/>
              <w:left w:val="single" w:sz="12" w:space="0" w:color="000000"/>
              <w:bottom w:val="single" w:sz="5" w:space="0" w:color="000000"/>
              <w:right w:val="single" w:sz="6" w:space="0" w:color="000000"/>
            </w:tcBorders>
          </w:tcPr>
          <w:p w:rsidR="002642C9" w:rsidRDefault="00484198">
            <w:pPr>
              <w:spacing w:after="0" w:line="259" w:lineRule="auto"/>
              <w:ind w:left="0" w:right="12" w:firstLine="0"/>
              <w:jc w:val="center"/>
            </w:pPr>
            <w:r>
              <w:rPr>
                <w:rFonts w:ascii="Arial" w:eastAsia="Arial" w:hAnsi="Arial" w:cs="Arial"/>
                <w:sz w:val="14"/>
              </w:rPr>
              <w:t>1 200 000</w:t>
            </w:r>
          </w:p>
        </w:tc>
        <w:tc>
          <w:tcPr>
            <w:tcW w:w="1326" w:type="dxa"/>
            <w:tcBorders>
              <w:top w:val="single" w:sz="6" w:space="0" w:color="000000"/>
              <w:left w:val="single" w:sz="6" w:space="0" w:color="000000"/>
              <w:bottom w:val="single" w:sz="5" w:space="0" w:color="000000"/>
              <w:right w:val="single" w:sz="5" w:space="0" w:color="000000"/>
            </w:tcBorders>
          </w:tcPr>
          <w:p w:rsidR="002642C9" w:rsidRDefault="002642C9">
            <w:pPr>
              <w:spacing w:after="160" w:line="259" w:lineRule="auto"/>
              <w:ind w:left="0" w:firstLine="0"/>
            </w:pPr>
          </w:p>
        </w:tc>
        <w:tc>
          <w:tcPr>
            <w:tcW w:w="1181" w:type="dxa"/>
            <w:tcBorders>
              <w:top w:val="single" w:sz="6" w:space="0" w:color="000000"/>
              <w:left w:val="single" w:sz="5" w:space="0" w:color="000000"/>
              <w:bottom w:val="single" w:sz="5" w:space="0" w:color="000000"/>
              <w:right w:val="single" w:sz="5" w:space="0" w:color="000000"/>
            </w:tcBorders>
          </w:tcPr>
          <w:p w:rsidR="002642C9" w:rsidRDefault="00484198">
            <w:pPr>
              <w:spacing w:after="0" w:line="259" w:lineRule="auto"/>
              <w:ind w:left="0" w:right="14" w:firstLine="0"/>
              <w:jc w:val="center"/>
            </w:pPr>
            <w:r>
              <w:rPr>
                <w:rFonts w:ascii="Arial" w:eastAsia="Arial" w:hAnsi="Arial" w:cs="Arial"/>
                <w:sz w:val="14"/>
              </w:rPr>
              <w:t>1 930</w:t>
            </w:r>
          </w:p>
        </w:tc>
        <w:tc>
          <w:tcPr>
            <w:tcW w:w="877" w:type="dxa"/>
            <w:tcBorders>
              <w:top w:val="single" w:sz="6" w:space="0" w:color="000000"/>
              <w:left w:val="single" w:sz="5" w:space="0" w:color="000000"/>
              <w:bottom w:val="single" w:sz="5" w:space="0" w:color="000000"/>
              <w:right w:val="single" w:sz="6" w:space="0" w:color="000000"/>
            </w:tcBorders>
          </w:tcPr>
          <w:p w:rsidR="002642C9" w:rsidRDefault="002642C9">
            <w:pPr>
              <w:spacing w:after="160" w:line="259" w:lineRule="auto"/>
              <w:ind w:left="0" w:firstLine="0"/>
            </w:pPr>
          </w:p>
        </w:tc>
        <w:tc>
          <w:tcPr>
            <w:tcW w:w="686" w:type="dxa"/>
            <w:tcBorders>
              <w:top w:val="single" w:sz="6" w:space="0" w:color="000000"/>
              <w:left w:val="single" w:sz="6" w:space="0" w:color="000000"/>
              <w:bottom w:val="single" w:sz="5" w:space="0" w:color="000000"/>
              <w:right w:val="single" w:sz="6" w:space="0" w:color="000000"/>
            </w:tcBorders>
          </w:tcPr>
          <w:p w:rsidR="002642C9" w:rsidRDefault="00484198">
            <w:pPr>
              <w:spacing w:after="0" w:line="259" w:lineRule="auto"/>
              <w:ind w:left="0" w:right="11" w:firstLine="0"/>
              <w:jc w:val="center"/>
            </w:pPr>
            <w:r>
              <w:rPr>
                <w:rFonts w:ascii="Arial" w:eastAsia="Arial" w:hAnsi="Arial" w:cs="Arial"/>
                <w:sz w:val="14"/>
              </w:rPr>
              <w:t>62</w:t>
            </w:r>
          </w:p>
        </w:tc>
        <w:tc>
          <w:tcPr>
            <w:tcW w:w="708" w:type="dxa"/>
            <w:tcBorders>
              <w:top w:val="single" w:sz="6" w:space="0" w:color="000000"/>
              <w:left w:val="single" w:sz="6" w:space="0" w:color="000000"/>
              <w:bottom w:val="single" w:sz="5" w:space="0" w:color="000000"/>
              <w:right w:val="single" w:sz="6" w:space="0" w:color="000000"/>
            </w:tcBorders>
          </w:tcPr>
          <w:p w:rsidR="002642C9" w:rsidRDefault="00484198">
            <w:pPr>
              <w:spacing w:after="0" w:line="259" w:lineRule="auto"/>
              <w:ind w:left="0" w:right="11" w:firstLine="0"/>
              <w:jc w:val="center"/>
            </w:pPr>
            <w:r>
              <w:rPr>
                <w:rFonts w:ascii="Arial" w:eastAsia="Arial" w:hAnsi="Arial" w:cs="Arial"/>
                <w:sz w:val="14"/>
              </w:rPr>
              <w:t>522</w:t>
            </w:r>
          </w:p>
        </w:tc>
        <w:tc>
          <w:tcPr>
            <w:tcW w:w="561" w:type="dxa"/>
            <w:tcBorders>
              <w:top w:val="single" w:sz="6" w:space="0" w:color="000000"/>
              <w:left w:val="single" w:sz="6" w:space="0" w:color="000000"/>
              <w:bottom w:val="single" w:sz="5" w:space="0" w:color="000000"/>
              <w:right w:val="single" w:sz="5" w:space="0" w:color="000000"/>
            </w:tcBorders>
          </w:tcPr>
          <w:p w:rsidR="002642C9" w:rsidRDefault="002642C9">
            <w:pPr>
              <w:spacing w:after="160" w:line="259" w:lineRule="auto"/>
              <w:ind w:left="0" w:firstLine="0"/>
            </w:pPr>
          </w:p>
        </w:tc>
      </w:tr>
      <w:tr w:rsidR="002642C9">
        <w:trPr>
          <w:trHeight w:val="300"/>
        </w:trPr>
        <w:tc>
          <w:tcPr>
            <w:tcW w:w="739" w:type="dxa"/>
            <w:tcBorders>
              <w:top w:val="single" w:sz="5" w:space="0" w:color="000000"/>
              <w:left w:val="single" w:sz="5" w:space="0" w:color="000000"/>
              <w:bottom w:val="single" w:sz="5" w:space="0" w:color="000000"/>
              <w:right w:val="single" w:sz="11" w:space="0" w:color="000000"/>
            </w:tcBorders>
            <w:vAlign w:val="bottom"/>
          </w:tcPr>
          <w:p w:rsidR="002642C9" w:rsidRDefault="00484198">
            <w:pPr>
              <w:spacing w:after="0" w:line="259" w:lineRule="auto"/>
              <w:ind w:left="0" w:right="27" w:firstLine="0"/>
              <w:jc w:val="right"/>
            </w:pPr>
            <w:r>
              <w:rPr>
                <w:rFonts w:ascii="Arial" w:eastAsia="Arial" w:hAnsi="Arial" w:cs="Arial"/>
                <w:sz w:val="14"/>
              </w:rPr>
              <w:t>1786</w:t>
            </w:r>
          </w:p>
        </w:tc>
        <w:tc>
          <w:tcPr>
            <w:tcW w:w="1326" w:type="dxa"/>
            <w:tcBorders>
              <w:top w:val="single" w:sz="5" w:space="0" w:color="000000"/>
              <w:left w:val="single" w:sz="11" w:space="0" w:color="000000"/>
              <w:bottom w:val="single" w:sz="5" w:space="0" w:color="000000"/>
              <w:right w:val="single" w:sz="12" w:space="0" w:color="000000"/>
            </w:tcBorders>
            <w:vAlign w:val="bottom"/>
          </w:tcPr>
          <w:p w:rsidR="002642C9" w:rsidRDefault="00484198">
            <w:pPr>
              <w:spacing w:after="0" w:line="259" w:lineRule="auto"/>
              <w:ind w:left="0" w:firstLine="0"/>
            </w:pPr>
            <w:r>
              <w:rPr>
                <w:rFonts w:ascii="Arial" w:eastAsia="Arial" w:hAnsi="Arial" w:cs="Arial"/>
                <w:sz w:val="14"/>
              </w:rPr>
              <w:t>Olomouc</w:t>
            </w:r>
          </w:p>
        </w:tc>
        <w:tc>
          <w:tcPr>
            <w:tcW w:w="1293" w:type="dxa"/>
            <w:tcBorders>
              <w:top w:val="single" w:sz="5" w:space="0" w:color="000000"/>
              <w:left w:val="single" w:sz="12" w:space="0" w:color="000000"/>
              <w:bottom w:val="single" w:sz="5" w:space="0" w:color="000000"/>
              <w:right w:val="single" w:sz="6" w:space="0" w:color="000000"/>
            </w:tcBorders>
          </w:tcPr>
          <w:p w:rsidR="002642C9" w:rsidRDefault="002642C9">
            <w:pPr>
              <w:spacing w:after="160" w:line="259" w:lineRule="auto"/>
              <w:ind w:left="0" w:firstLine="0"/>
            </w:pPr>
          </w:p>
        </w:tc>
        <w:tc>
          <w:tcPr>
            <w:tcW w:w="1326" w:type="dxa"/>
            <w:tcBorders>
              <w:top w:val="single" w:sz="5" w:space="0" w:color="000000"/>
              <w:left w:val="single" w:sz="6" w:space="0" w:color="000000"/>
              <w:bottom w:val="single" w:sz="5" w:space="0" w:color="000000"/>
              <w:right w:val="single" w:sz="5" w:space="0" w:color="000000"/>
            </w:tcBorders>
          </w:tcPr>
          <w:p w:rsidR="002642C9" w:rsidRDefault="002642C9">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rsidR="002642C9" w:rsidRDefault="002642C9">
            <w:pPr>
              <w:spacing w:after="160" w:line="259" w:lineRule="auto"/>
              <w:ind w:left="0" w:firstLine="0"/>
            </w:pPr>
          </w:p>
        </w:tc>
        <w:tc>
          <w:tcPr>
            <w:tcW w:w="877" w:type="dxa"/>
            <w:tcBorders>
              <w:top w:val="single" w:sz="5" w:space="0" w:color="000000"/>
              <w:left w:val="single" w:sz="5" w:space="0" w:color="000000"/>
              <w:bottom w:val="single" w:sz="5" w:space="0" w:color="000000"/>
              <w:right w:val="single" w:sz="6" w:space="0" w:color="000000"/>
            </w:tcBorders>
          </w:tcPr>
          <w:p w:rsidR="002642C9" w:rsidRDefault="002642C9">
            <w:pPr>
              <w:spacing w:after="160" w:line="259" w:lineRule="auto"/>
              <w:ind w:left="0" w:firstLine="0"/>
            </w:pPr>
          </w:p>
        </w:tc>
        <w:tc>
          <w:tcPr>
            <w:tcW w:w="686" w:type="dxa"/>
            <w:tcBorders>
              <w:top w:val="single" w:sz="5" w:space="0" w:color="000000"/>
              <w:left w:val="single" w:sz="6" w:space="0" w:color="000000"/>
              <w:bottom w:val="single" w:sz="5" w:space="0" w:color="000000"/>
              <w:right w:val="single" w:sz="6" w:space="0" w:color="000000"/>
            </w:tcBorders>
          </w:tcPr>
          <w:p w:rsidR="002642C9" w:rsidRDefault="00484198">
            <w:pPr>
              <w:spacing w:after="0" w:line="259" w:lineRule="auto"/>
              <w:ind w:left="0" w:right="11" w:firstLine="0"/>
              <w:jc w:val="center"/>
            </w:pPr>
            <w:r>
              <w:rPr>
                <w:rFonts w:ascii="Arial" w:eastAsia="Arial" w:hAnsi="Arial" w:cs="Arial"/>
                <w:sz w:val="14"/>
              </w:rPr>
              <w:t>45</w:t>
            </w:r>
          </w:p>
        </w:tc>
        <w:tc>
          <w:tcPr>
            <w:tcW w:w="708" w:type="dxa"/>
            <w:tcBorders>
              <w:top w:val="single" w:sz="5" w:space="0" w:color="000000"/>
              <w:left w:val="single" w:sz="6" w:space="0" w:color="000000"/>
              <w:bottom w:val="single" w:sz="5" w:space="0" w:color="000000"/>
              <w:right w:val="single" w:sz="6" w:space="0" w:color="000000"/>
            </w:tcBorders>
          </w:tcPr>
          <w:p w:rsidR="002642C9" w:rsidRDefault="00484198">
            <w:pPr>
              <w:spacing w:after="0" w:line="259" w:lineRule="auto"/>
              <w:ind w:left="0" w:right="11" w:firstLine="0"/>
              <w:jc w:val="center"/>
            </w:pPr>
            <w:r>
              <w:rPr>
                <w:rFonts w:ascii="Arial" w:eastAsia="Arial" w:hAnsi="Arial" w:cs="Arial"/>
                <w:sz w:val="14"/>
              </w:rPr>
              <w:t>508</w:t>
            </w:r>
          </w:p>
        </w:tc>
        <w:tc>
          <w:tcPr>
            <w:tcW w:w="561" w:type="dxa"/>
            <w:tcBorders>
              <w:top w:val="single" w:sz="5" w:space="0" w:color="000000"/>
              <w:left w:val="single" w:sz="6" w:space="0" w:color="000000"/>
              <w:bottom w:val="single" w:sz="5" w:space="0" w:color="000000"/>
              <w:right w:val="single" w:sz="5" w:space="0" w:color="000000"/>
            </w:tcBorders>
          </w:tcPr>
          <w:p w:rsidR="002642C9" w:rsidRDefault="00484198">
            <w:pPr>
              <w:spacing w:after="0" w:line="259" w:lineRule="auto"/>
              <w:ind w:left="91" w:firstLine="0"/>
            </w:pPr>
            <w:r>
              <w:rPr>
                <w:rFonts w:ascii="Arial" w:eastAsia="Arial" w:hAnsi="Arial" w:cs="Arial"/>
                <w:sz w:val="14"/>
              </w:rPr>
              <w:t>1 221</w:t>
            </w:r>
          </w:p>
        </w:tc>
      </w:tr>
      <w:tr w:rsidR="002642C9">
        <w:trPr>
          <w:trHeight w:val="300"/>
        </w:trPr>
        <w:tc>
          <w:tcPr>
            <w:tcW w:w="739" w:type="dxa"/>
            <w:tcBorders>
              <w:top w:val="single" w:sz="5" w:space="0" w:color="000000"/>
              <w:left w:val="single" w:sz="5" w:space="0" w:color="000000"/>
              <w:bottom w:val="single" w:sz="5" w:space="0" w:color="000000"/>
              <w:right w:val="single" w:sz="11" w:space="0" w:color="000000"/>
            </w:tcBorders>
            <w:vAlign w:val="bottom"/>
          </w:tcPr>
          <w:p w:rsidR="002642C9" w:rsidRDefault="00484198">
            <w:pPr>
              <w:spacing w:after="0" w:line="259" w:lineRule="auto"/>
              <w:ind w:left="0" w:right="27" w:firstLine="0"/>
              <w:jc w:val="right"/>
            </w:pPr>
            <w:r>
              <w:rPr>
                <w:rFonts w:ascii="Arial" w:eastAsia="Arial" w:hAnsi="Arial" w:cs="Arial"/>
                <w:sz w:val="14"/>
              </w:rPr>
              <w:t>1786</w:t>
            </w:r>
          </w:p>
        </w:tc>
        <w:tc>
          <w:tcPr>
            <w:tcW w:w="1326" w:type="dxa"/>
            <w:tcBorders>
              <w:top w:val="single" w:sz="5" w:space="0" w:color="000000"/>
              <w:left w:val="single" w:sz="11" w:space="0" w:color="000000"/>
              <w:bottom w:val="single" w:sz="5" w:space="0" w:color="000000"/>
              <w:right w:val="single" w:sz="12" w:space="0" w:color="000000"/>
            </w:tcBorders>
            <w:vAlign w:val="bottom"/>
          </w:tcPr>
          <w:p w:rsidR="002642C9" w:rsidRDefault="00484198">
            <w:pPr>
              <w:spacing w:after="0" w:line="259" w:lineRule="auto"/>
              <w:ind w:left="0" w:firstLine="0"/>
            </w:pPr>
            <w:r>
              <w:rPr>
                <w:rFonts w:ascii="Arial" w:eastAsia="Arial" w:hAnsi="Arial" w:cs="Arial"/>
                <w:sz w:val="14"/>
              </w:rPr>
              <w:t>Brno</w:t>
            </w:r>
          </w:p>
        </w:tc>
        <w:tc>
          <w:tcPr>
            <w:tcW w:w="1293" w:type="dxa"/>
            <w:tcBorders>
              <w:top w:val="single" w:sz="5" w:space="0" w:color="000000"/>
              <w:left w:val="single" w:sz="12" w:space="0" w:color="000000"/>
              <w:bottom w:val="single" w:sz="5" w:space="0" w:color="000000"/>
              <w:right w:val="single" w:sz="6" w:space="0" w:color="000000"/>
            </w:tcBorders>
          </w:tcPr>
          <w:p w:rsidR="002642C9" w:rsidRDefault="002642C9">
            <w:pPr>
              <w:spacing w:after="160" w:line="259" w:lineRule="auto"/>
              <w:ind w:left="0" w:firstLine="0"/>
            </w:pPr>
          </w:p>
        </w:tc>
        <w:tc>
          <w:tcPr>
            <w:tcW w:w="1326" w:type="dxa"/>
            <w:tcBorders>
              <w:top w:val="single" w:sz="5" w:space="0" w:color="000000"/>
              <w:left w:val="single" w:sz="6" w:space="0" w:color="000000"/>
              <w:bottom w:val="single" w:sz="5" w:space="0" w:color="000000"/>
              <w:right w:val="single" w:sz="5" w:space="0" w:color="000000"/>
            </w:tcBorders>
          </w:tcPr>
          <w:p w:rsidR="002642C9" w:rsidRDefault="002642C9">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rsidR="002642C9" w:rsidRDefault="002642C9">
            <w:pPr>
              <w:spacing w:after="160" w:line="259" w:lineRule="auto"/>
              <w:ind w:left="0" w:firstLine="0"/>
            </w:pPr>
          </w:p>
        </w:tc>
        <w:tc>
          <w:tcPr>
            <w:tcW w:w="877" w:type="dxa"/>
            <w:tcBorders>
              <w:top w:val="single" w:sz="5" w:space="0" w:color="000000"/>
              <w:left w:val="single" w:sz="5" w:space="0" w:color="000000"/>
              <w:bottom w:val="single" w:sz="5" w:space="0" w:color="000000"/>
              <w:right w:val="single" w:sz="6" w:space="0" w:color="000000"/>
            </w:tcBorders>
          </w:tcPr>
          <w:p w:rsidR="002642C9" w:rsidRDefault="002642C9">
            <w:pPr>
              <w:spacing w:after="160" w:line="259" w:lineRule="auto"/>
              <w:ind w:left="0" w:firstLine="0"/>
            </w:pPr>
          </w:p>
        </w:tc>
        <w:tc>
          <w:tcPr>
            <w:tcW w:w="686" w:type="dxa"/>
            <w:tcBorders>
              <w:top w:val="single" w:sz="5" w:space="0" w:color="000000"/>
              <w:left w:val="single" w:sz="6" w:space="0" w:color="000000"/>
              <w:bottom w:val="single" w:sz="5" w:space="0" w:color="000000"/>
              <w:right w:val="single" w:sz="6" w:space="0" w:color="000000"/>
            </w:tcBorders>
          </w:tcPr>
          <w:p w:rsidR="002642C9" w:rsidRDefault="00484198">
            <w:pPr>
              <w:spacing w:after="0" w:line="259" w:lineRule="auto"/>
              <w:ind w:left="0" w:right="11" w:firstLine="0"/>
              <w:jc w:val="center"/>
            </w:pPr>
            <w:r>
              <w:rPr>
                <w:rFonts w:ascii="Arial" w:eastAsia="Arial" w:hAnsi="Arial" w:cs="Arial"/>
                <w:sz w:val="14"/>
              </w:rPr>
              <w:t>36</w:t>
            </w:r>
          </w:p>
        </w:tc>
        <w:tc>
          <w:tcPr>
            <w:tcW w:w="708" w:type="dxa"/>
            <w:tcBorders>
              <w:top w:val="single" w:sz="5" w:space="0" w:color="000000"/>
              <w:left w:val="single" w:sz="6" w:space="0" w:color="000000"/>
              <w:bottom w:val="single" w:sz="5" w:space="0" w:color="000000"/>
              <w:right w:val="single" w:sz="6" w:space="0" w:color="000000"/>
            </w:tcBorders>
          </w:tcPr>
          <w:p w:rsidR="002642C9" w:rsidRDefault="00484198">
            <w:pPr>
              <w:spacing w:after="0" w:line="259" w:lineRule="auto"/>
              <w:ind w:left="0" w:right="11" w:firstLine="0"/>
              <w:jc w:val="center"/>
            </w:pPr>
            <w:r>
              <w:rPr>
                <w:rFonts w:ascii="Arial" w:eastAsia="Arial" w:hAnsi="Arial" w:cs="Arial"/>
                <w:sz w:val="14"/>
              </w:rPr>
              <w:t>397</w:t>
            </w:r>
          </w:p>
        </w:tc>
        <w:tc>
          <w:tcPr>
            <w:tcW w:w="561" w:type="dxa"/>
            <w:tcBorders>
              <w:top w:val="single" w:sz="5" w:space="0" w:color="000000"/>
              <w:left w:val="single" w:sz="6" w:space="0" w:color="000000"/>
              <w:bottom w:val="single" w:sz="5" w:space="0" w:color="000000"/>
              <w:right w:val="single" w:sz="5" w:space="0" w:color="000000"/>
            </w:tcBorders>
          </w:tcPr>
          <w:p w:rsidR="002642C9" w:rsidRDefault="00484198">
            <w:pPr>
              <w:spacing w:after="0" w:line="259" w:lineRule="auto"/>
              <w:ind w:left="91" w:firstLine="0"/>
            </w:pPr>
            <w:r>
              <w:rPr>
                <w:rFonts w:ascii="Arial" w:eastAsia="Arial" w:hAnsi="Arial" w:cs="Arial"/>
                <w:sz w:val="14"/>
              </w:rPr>
              <w:t>1 312</w:t>
            </w:r>
          </w:p>
        </w:tc>
      </w:tr>
      <w:tr w:rsidR="002642C9">
        <w:trPr>
          <w:trHeight w:val="301"/>
        </w:trPr>
        <w:tc>
          <w:tcPr>
            <w:tcW w:w="739" w:type="dxa"/>
            <w:tcBorders>
              <w:top w:val="single" w:sz="5" w:space="0" w:color="000000"/>
              <w:left w:val="single" w:sz="5" w:space="0" w:color="000000"/>
              <w:bottom w:val="single" w:sz="6" w:space="0" w:color="000000"/>
              <w:right w:val="single" w:sz="11" w:space="0" w:color="000000"/>
            </w:tcBorders>
            <w:vAlign w:val="bottom"/>
          </w:tcPr>
          <w:p w:rsidR="002642C9" w:rsidRDefault="00484198">
            <w:pPr>
              <w:spacing w:after="0" w:line="259" w:lineRule="auto"/>
              <w:ind w:left="0" w:right="27" w:firstLine="0"/>
              <w:jc w:val="right"/>
            </w:pPr>
            <w:r>
              <w:rPr>
                <w:rFonts w:ascii="Arial" w:eastAsia="Arial" w:hAnsi="Arial" w:cs="Arial"/>
                <w:sz w:val="14"/>
              </w:rPr>
              <w:t>1800</w:t>
            </w:r>
          </w:p>
        </w:tc>
        <w:tc>
          <w:tcPr>
            <w:tcW w:w="1326" w:type="dxa"/>
            <w:tcBorders>
              <w:top w:val="single" w:sz="5" w:space="0" w:color="000000"/>
              <w:left w:val="single" w:sz="11" w:space="0" w:color="000000"/>
              <w:bottom w:val="single" w:sz="6" w:space="0" w:color="000000"/>
              <w:right w:val="single" w:sz="12" w:space="0" w:color="000000"/>
            </w:tcBorders>
            <w:vAlign w:val="bottom"/>
          </w:tcPr>
          <w:p w:rsidR="002642C9" w:rsidRDefault="00484198">
            <w:pPr>
              <w:spacing w:after="0" w:line="259" w:lineRule="auto"/>
              <w:ind w:left="0" w:firstLine="0"/>
            </w:pPr>
            <w:r>
              <w:rPr>
                <w:rFonts w:ascii="Arial" w:eastAsia="Arial" w:hAnsi="Arial" w:cs="Arial"/>
                <w:sz w:val="14"/>
              </w:rPr>
              <w:t>Morava+Slezsko</w:t>
            </w:r>
          </w:p>
        </w:tc>
        <w:tc>
          <w:tcPr>
            <w:tcW w:w="1293" w:type="dxa"/>
            <w:tcBorders>
              <w:top w:val="single" w:sz="5" w:space="0" w:color="000000"/>
              <w:left w:val="single" w:sz="12" w:space="0" w:color="000000"/>
              <w:bottom w:val="single" w:sz="6" w:space="0" w:color="000000"/>
              <w:right w:val="single" w:sz="6" w:space="0" w:color="000000"/>
            </w:tcBorders>
          </w:tcPr>
          <w:p w:rsidR="002642C9" w:rsidRDefault="00484198">
            <w:pPr>
              <w:spacing w:after="0" w:line="259" w:lineRule="auto"/>
              <w:ind w:left="0" w:right="12" w:firstLine="0"/>
              <w:jc w:val="center"/>
            </w:pPr>
            <w:r>
              <w:rPr>
                <w:rFonts w:ascii="Arial" w:eastAsia="Arial" w:hAnsi="Arial" w:cs="Arial"/>
                <w:sz w:val="14"/>
              </w:rPr>
              <w:t>1 371 000</w:t>
            </w:r>
          </w:p>
        </w:tc>
        <w:tc>
          <w:tcPr>
            <w:tcW w:w="1326" w:type="dxa"/>
            <w:tcBorders>
              <w:top w:val="single" w:sz="5" w:space="0" w:color="000000"/>
              <w:left w:val="single" w:sz="6" w:space="0" w:color="000000"/>
              <w:bottom w:val="single" w:sz="6" w:space="0" w:color="000000"/>
              <w:right w:val="single" w:sz="5" w:space="0" w:color="000000"/>
            </w:tcBorders>
          </w:tcPr>
          <w:p w:rsidR="002642C9" w:rsidRDefault="00484198">
            <w:pPr>
              <w:spacing w:after="0" w:line="259" w:lineRule="auto"/>
              <w:ind w:left="0" w:right="13" w:firstLine="0"/>
              <w:jc w:val="center"/>
            </w:pPr>
            <w:r>
              <w:rPr>
                <w:rFonts w:ascii="Arial" w:eastAsia="Arial" w:hAnsi="Arial" w:cs="Arial"/>
                <w:sz w:val="14"/>
              </w:rPr>
              <w:t>95%</w:t>
            </w:r>
          </w:p>
        </w:tc>
        <w:tc>
          <w:tcPr>
            <w:tcW w:w="1181" w:type="dxa"/>
            <w:tcBorders>
              <w:top w:val="single" w:sz="5" w:space="0" w:color="000000"/>
              <w:left w:val="single" w:sz="5" w:space="0" w:color="000000"/>
              <w:bottom w:val="single" w:sz="6" w:space="0" w:color="000000"/>
              <w:right w:val="single" w:sz="5" w:space="0" w:color="000000"/>
            </w:tcBorders>
          </w:tcPr>
          <w:p w:rsidR="002642C9" w:rsidRDefault="00484198">
            <w:pPr>
              <w:spacing w:after="0" w:line="259" w:lineRule="auto"/>
              <w:ind w:left="0" w:right="11" w:firstLine="0"/>
              <w:jc w:val="center"/>
            </w:pPr>
            <w:r>
              <w:rPr>
                <w:rFonts w:ascii="Arial" w:eastAsia="Arial" w:hAnsi="Arial" w:cs="Arial"/>
                <w:sz w:val="14"/>
              </w:rPr>
              <w:t>571</w:t>
            </w:r>
          </w:p>
        </w:tc>
        <w:tc>
          <w:tcPr>
            <w:tcW w:w="877" w:type="dxa"/>
            <w:tcBorders>
              <w:top w:val="single" w:sz="5" w:space="0" w:color="000000"/>
              <w:left w:val="single" w:sz="5" w:space="0" w:color="000000"/>
              <w:bottom w:val="single" w:sz="6" w:space="0" w:color="000000"/>
              <w:right w:val="single" w:sz="6" w:space="0" w:color="000000"/>
            </w:tcBorders>
          </w:tcPr>
          <w:p w:rsidR="002642C9" w:rsidRDefault="002642C9">
            <w:pPr>
              <w:spacing w:after="160" w:line="259" w:lineRule="auto"/>
              <w:ind w:left="0" w:firstLine="0"/>
            </w:pPr>
          </w:p>
        </w:tc>
        <w:tc>
          <w:tcPr>
            <w:tcW w:w="686" w:type="dxa"/>
            <w:tcBorders>
              <w:top w:val="single" w:sz="5" w:space="0" w:color="000000"/>
              <w:left w:val="single" w:sz="6" w:space="0" w:color="000000"/>
              <w:bottom w:val="single" w:sz="6" w:space="0" w:color="000000"/>
              <w:right w:val="single" w:sz="6" w:space="0" w:color="000000"/>
            </w:tcBorders>
          </w:tcPr>
          <w:p w:rsidR="002642C9" w:rsidRDefault="002642C9">
            <w:pPr>
              <w:spacing w:after="160" w:line="259" w:lineRule="auto"/>
              <w:ind w:left="0" w:firstLine="0"/>
            </w:pPr>
          </w:p>
        </w:tc>
        <w:tc>
          <w:tcPr>
            <w:tcW w:w="708" w:type="dxa"/>
            <w:tcBorders>
              <w:top w:val="single" w:sz="5" w:space="0" w:color="000000"/>
              <w:left w:val="single" w:sz="6" w:space="0" w:color="000000"/>
              <w:bottom w:val="single" w:sz="6" w:space="0" w:color="000000"/>
              <w:right w:val="single" w:sz="6" w:space="0" w:color="000000"/>
            </w:tcBorders>
          </w:tcPr>
          <w:p w:rsidR="002642C9" w:rsidRDefault="002642C9">
            <w:pPr>
              <w:spacing w:after="160" w:line="259" w:lineRule="auto"/>
              <w:ind w:left="0" w:firstLine="0"/>
            </w:pPr>
          </w:p>
        </w:tc>
        <w:tc>
          <w:tcPr>
            <w:tcW w:w="561" w:type="dxa"/>
            <w:tcBorders>
              <w:top w:val="single" w:sz="5" w:space="0" w:color="000000"/>
              <w:left w:val="single" w:sz="6" w:space="0" w:color="000000"/>
              <w:bottom w:val="single" w:sz="6" w:space="0" w:color="000000"/>
              <w:right w:val="single" w:sz="5" w:space="0" w:color="000000"/>
            </w:tcBorders>
          </w:tcPr>
          <w:p w:rsidR="002642C9" w:rsidRDefault="00484198">
            <w:pPr>
              <w:spacing w:after="0" w:line="259" w:lineRule="auto"/>
              <w:ind w:left="91" w:firstLine="0"/>
            </w:pPr>
            <w:r>
              <w:rPr>
                <w:rFonts w:ascii="Arial" w:eastAsia="Arial" w:hAnsi="Arial" w:cs="Arial"/>
                <w:sz w:val="14"/>
              </w:rPr>
              <w:t>2 400</w:t>
            </w:r>
          </w:p>
        </w:tc>
      </w:tr>
      <w:tr w:rsidR="002642C9">
        <w:trPr>
          <w:trHeight w:val="300"/>
        </w:trPr>
        <w:tc>
          <w:tcPr>
            <w:tcW w:w="739" w:type="dxa"/>
            <w:tcBorders>
              <w:top w:val="single" w:sz="6" w:space="0" w:color="000000"/>
              <w:left w:val="single" w:sz="5" w:space="0" w:color="000000"/>
              <w:bottom w:val="single" w:sz="6" w:space="0" w:color="000000"/>
              <w:right w:val="single" w:sz="11" w:space="0" w:color="000000"/>
            </w:tcBorders>
          </w:tcPr>
          <w:p w:rsidR="002642C9" w:rsidRDefault="002642C9">
            <w:pPr>
              <w:spacing w:after="160" w:line="259" w:lineRule="auto"/>
              <w:ind w:left="0" w:firstLine="0"/>
            </w:pPr>
          </w:p>
        </w:tc>
        <w:tc>
          <w:tcPr>
            <w:tcW w:w="1326" w:type="dxa"/>
            <w:tcBorders>
              <w:top w:val="single" w:sz="6" w:space="0" w:color="000000"/>
              <w:left w:val="single" w:sz="11" w:space="0" w:color="000000"/>
              <w:bottom w:val="single" w:sz="6" w:space="0" w:color="000000"/>
              <w:right w:val="single" w:sz="12" w:space="0" w:color="000000"/>
            </w:tcBorders>
          </w:tcPr>
          <w:p w:rsidR="002642C9" w:rsidRDefault="002642C9">
            <w:pPr>
              <w:spacing w:after="160" w:line="259" w:lineRule="auto"/>
              <w:ind w:left="0" w:firstLine="0"/>
            </w:pPr>
          </w:p>
        </w:tc>
        <w:tc>
          <w:tcPr>
            <w:tcW w:w="2619" w:type="dxa"/>
            <w:gridSpan w:val="2"/>
            <w:tcBorders>
              <w:top w:val="single" w:sz="6" w:space="0" w:color="000000"/>
              <w:left w:val="single" w:sz="12" w:space="0" w:color="000000"/>
              <w:bottom w:val="single" w:sz="6" w:space="0" w:color="000000"/>
              <w:right w:val="nil"/>
            </w:tcBorders>
            <w:vAlign w:val="bottom"/>
          </w:tcPr>
          <w:p w:rsidR="002642C9" w:rsidRDefault="00484198">
            <w:pPr>
              <w:spacing w:after="0" w:line="259" w:lineRule="auto"/>
              <w:ind w:left="0" w:right="11" w:firstLine="0"/>
              <w:jc w:val="center"/>
            </w:pPr>
            <w:r>
              <w:rPr>
                <w:rFonts w:ascii="Arial" w:eastAsia="Arial" w:hAnsi="Arial" w:cs="Arial"/>
                <w:sz w:val="14"/>
              </w:rPr>
              <w:t>Podle sčítání k prvnímu lednu 2001</w:t>
            </w:r>
          </w:p>
        </w:tc>
        <w:tc>
          <w:tcPr>
            <w:tcW w:w="1181" w:type="dxa"/>
            <w:tcBorders>
              <w:top w:val="single" w:sz="6" w:space="0" w:color="000000"/>
              <w:left w:val="nil"/>
              <w:bottom w:val="single" w:sz="6" w:space="0" w:color="000000"/>
              <w:right w:val="nil"/>
            </w:tcBorders>
            <w:vAlign w:val="bottom"/>
          </w:tcPr>
          <w:p w:rsidR="002642C9" w:rsidRDefault="00484198">
            <w:pPr>
              <w:spacing w:after="0" w:line="259" w:lineRule="auto"/>
              <w:ind w:left="0" w:right="10" w:firstLine="0"/>
              <w:jc w:val="center"/>
            </w:pPr>
            <w:r>
              <w:rPr>
                <w:rFonts w:ascii="Arial" w:eastAsia="Arial" w:hAnsi="Arial" w:cs="Arial"/>
                <w:sz w:val="14"/>
              </w:rPr>
              <w:t>obyv/1 kněz</w:t>
            </w:r>
          </w:p>
        </w:tc>
        <w:tc>
          <w:tcPr>
            <w:tcW w:w="877" w:type="dxa"/>
            <w:tcBorders>
              <w:top w:val="single" w:sz="6" w:space="0" w:color="000000"/>
              <w:left w:val="nil"/>
              <w:bottom w:val="single" w:sz="6" w:space="0" w:color="000000"/>
              <w:right w:val="nil"/>
            </w:tcBorders>
          </w:tcPr>
          <w:p w:rsidR="002642C9" w:rsidRDefault="002642C9">
            <w:pPr>
              <w:spacing w:after="160" w:line="259" w:lineRule="auto"/>
              <w:ind w:left="0" w:firstLine="0"/>
            </w:pPr>
          </w:p>
        </w:tc>
        <w:tc>
          <w:tcPr>
            <w:tcW w:w="1394" w:type="dxa"/>
            <w:gridSpan w:val="2"/>
            <w:tcBorders>
              <w:top w:val="single" w:sz="6" w:space="0" w:color="000000"/>
              <w:left w:val="nil"/>
              <w:bottom w:val="single" w:sz="6" w:space="0" w:color="000000"/>
              <w:right w:val="nil"/>
            </w:tcBorders>
          </w:tcPr>
          <w:p w:rsidR="002642C9" w:rsidRDefault="002642C9">
            <w:pPr>
              <w:spacing w:after="160" w:line="259" w:lineRule="auto"/>
              <w:ind w:left="0" w:firstLine="0"/>
            </w:pPr>
          </w:p>
        </w:tc>
        <w:tc>
          <w:tcPr>
            <w:tcW w:w="561" w:type="dxa"/>
            <w:tcBorders>
              <w:top w:val="single" w:sz="6" w:space="0" w:color="000000"/>
              <w:left w:val="nil"/>
              <w:bottom w:val="single" w:sz="6" w:space="0" w:color="000000"/>
              <w:right w:val="single" w:sz="5" w:space="0" w:color="000000"/>
            </w:tcBorders>
          </w:tcPr>
          <w:p w:rsidR="002642C9" w:rsidRDefault="002642C9">
            <w:pPr>
              <w:spacing w:after="160" w:line="259" w:lineRule="auto"/>
              <w:ind w:left="0" w:firstLine="0"/>
            </w:pPr>
          </w:p>
        </w:tc>
      </w:tr>
      <w:tr w:rsidR="002642C9">
        <w:trPr>
          <w:trHeight w:val="300"/>
        </w:trPr>
        <w:tc>
          <w:tcPr>
            <w:tcW w:w="739" w:type="dxa"/>
            <w:tcBorders>
              <w:top w:val="single" w:sz="6" w:space="0" w:color="000000"/>
              <w:left w:val="single" w:sz="5" w:space="0" w:color="000000"/>
              <w:bottom w:val="single" w:sz="6" w:space="0" w:color="000000"/>
              <w:right w:val="single" w:sz="11" w:space="0" w:color="000000"/>
            </w:tcBorders>
            <w:vAlign w:val="bottom"/>
          </w:tcPr>
          <w:p w:rsidR="002642C9" w:rsidRDefault="00484198">
            <w:pPr>
              <w:spacing w:after="0" w:line="259" w:lineRule="auto"/>
              <w:ind w:left="0" w:right="27" w:firstLine="0"/>
              <w:jc w:val="right"/>
            </w:pPr>
            <w:r>
              <w:rPr>
                <w:rFonts w:ascii="Arial" w:eastAsia="Arial" w:hAnsi="Arial" w:cs="Arial"/>
                <w:sz w:val="14"/>
              </w:rPr>
              <w:t>2006</w:t>
            </w:r>
          </w:p>
        </w:tc>
        <w:tc>
          <w:tcPr>
            <w:tcW w:w="1326" w:type="dxa"/>
            <w:tcBorders>
              <w:top w:val="single" w:sz="6" w:space="0" w:color="000000"/>
              <w:left w:val="single" w:sz="11" w:space="0" w:color="000000"/>
              <w:bottom w:val="single" w:sz="6" w:space="0" w:color="000000"/>
              <w:right w:val="single" w:sz="12" w:space="0" w:color="000000"/>
            </w:tcBorders>
            <w:vAlign w:val="bottom"/>
          </w:tcPr>
          <w:p w:rsidR="002642C9" w:rsidRDefault="00484198">
            <w:pPr>
              <w:spacing w:after="0" w:line="259" w:lineRule="auto"/>
              <w:ind w:left="0" w:firstLine="0"/>
            </w:pPr>
            <w:r>
              <w:rPr>
                <w:rFonts w:ascii="Arial" w:eastAsia="Arial" w:hAnsi="Arial" w:cs="Arial"/>
                <w:sz w:val="14"/>
              </w:rPr>
              <w:t>Olomouc</w:t>
            </w:r>
          </w:p>
        </w:tc>
        <w:tc>
          <w:tcPr>
            <w:tcW w:w="1293" w:type="dxa"/>
            <w:tcBorders>
              <w:top w:val="single" w:sz="6" w:space="0" w:color="000000"/>
              <w:left w:val="single" w:sz="12" w:space="0" w:color="000000"/>
              <w:bottom w:val="single" w:sz="6" w:space="0" w:color="000000"/>
              <w:right w:val="single" w:sz="6" w:space="0" w:color="000000"/>
            </w:tcBorders>
          </w:tcPr>
          <w:p w:rsidR="002642C9" w:rsidRDefault="00484198">
            <w:pPr>
              <w:spacing w:after="0" w:line="259" w:lineRule="auto"/>
              <w:ind w:left="0" w:right="12" w:firstLine="0"/>
              <w:jc w:val="center"/>
            </w:pPr>
            <w:r>
              <w:rPr>
                <w:rFonts w:ascii="Arial" w:eastAsia="Arial" w:hAnsi="Arial" w:cs="Arial"/>
                <w:sz w:val="14"/>
              </w:rPr>
              <w:t>1 376 000</w:t>
            </w:r>
          </w:p>
        </w:tc>
        <w:tc>
          <w:tcPr>
            <w:tcW w:w="1326" w:type="dxa"/>
            <w:tcBorders>
              <w:top w:val="single" w:sz="6" w:space="0" w:color="000000"/>
              <w:left w:val="single" w:sz="6" w:space="0" w:color="000000"/>
              <w:bottom w:val="single" w:sz="6" w:space="0" w:color="000000"/>
              <w:right w:val="single" w:sz="5" w:space="0" w:color="000000"/>
            </w:tcBorders>
          </w:tcPr>
          <w:p w:rsidR="002642C9" w:rsidRDefault="00484198">
            <w:pPr>
              <w:spacing w:after="0" w:line="259" w:lineRule="auto"/>
              <w:ind w:left="0" w:right="10" w:firstLine="0"/>
              <w:jc w:val="center"/>
            </w:pPr>
            <w:r>
              <w:rPr>
                <w:rFonts w:ascii="Arial" w:eastAsia="Arial" w:hAnsi="Arial" w:cs="Arial"/>
                <w:sz w:val="14"/>
              </w:rPr>
              <w:t>568 000</w:t>
            </w:r>
          </w:p>
        </w:tc>
        <w:tc>
          <w:tcPr>
            <w:tcW w:w="1181" w:type="dxa"/>
            <w:tcBorders>
              <w:top w:val="single" w:sz="6" w:space="0" w:color="000000"/>
              <w:left w:val="single" w:sz="5" w:space="0" w:color="000000"/>
              <w:bottom w:val="single" w:sz="6" w:space="0" w:color="000000"/>
              <w:right w:val="single" w:sz="5" w:space="0" w:color="000000"/>
            </w:tcBorders>
          </w:tcPr>
          <w:p w:rsidR="002642C9" w:rsidRDefault="00484198">
            <w:pPr>
              <w:spacing w:after="0" w:line="259" w:lineRule="auto"/>
              <w:ind w:left="0" w:right="14" w:firstLine="0"/>
              <w:jc w:val="center"/>
            </w:pPr>
            <w:r>
              <w:rPr>
                <w:rFonts w:ascii="Arial" w:eastAsia="Arial" w:hAnsi="Arial" w:cs="Arial"/>
                <w:sz w:val="14"/>
              </w:rPr>
              <w:t>4 496</w:t>
            </w:r>
          </w:p>
        </w:tc>
        <w:tc>
          <w:tcPr>
            <w:tcW w:w="877" w:type="dxa"/>
            <w:tcBorders>
              <w:top w:val="single" w:sz="6" w:space="0" w:color="000000"/>
              <w:left w:val="single" w:sz="5" w:space="0" w:color="000000"/>
              <w:bottom w:val="single" w:sz="6" w:space="0" w:color="000000"/>
              <w:right w:val="single" w:sz="6" w:space="0" w:color="000000"/>
            </w:tcBorders>
          </w:tcPr>
          <w:p w:rsidR="002642C9" w:rsidRDefault="00484198">
            <w:pPr>
              <w:spacing w:after="0" w:line="259" w:lineRule="auto"/>
              <w:ind w:left="0" w:right="13" w:firstLine="0"/>
              <w:jc w:val="center"/>
            </w:pPr>
            <w:r>
              <w:rPr>
                <w:rFonts w:ascii="Arial" w:eastAsia="Arial" w:hAnsi="Arial" w:cs="Arial"/>
                <w:sz w:val="14"/>
              </w:rPr>
              <w:t>1 856</w:t>
            </w:r>
          </w:p>
        </w:tc>
        <w:tc>
          <w:tcPr>
            <w:tcW w:w="686" w:type="dxa"/>
            <w:tcBorders>
              <w:top w:val="single" w:sz="6" w:space="0" w:color="000000"/>
              <w:left w:val="single" w:sz="6" w:space="0" w:color="000000"/>
              <w:bottom w:val="single" w:sz="6" w:space="0" w:color="000000"/>
              <w:right w:val="single" w:sz="6" w:space="0" w:color="000000"/>
            </w:tcBorders>
          </w:tcPr>
          <w:p w:rsidR="002642C9" w:rsidRDefault="00484198">
            <w:pPr>
              <w:spacing w:after="0" w:line="259" w:lineRule="auto"/>
              <w:ind w:left="0" w:right="11" w:firstLine="0"/>
              <w:jc w:val="center"/>
            </w:pPr>
            <w:r>
              <w:rPr>
                <w:rFonts w:ascii="Arial" w:eastAsia="Arial" w:hAnsi="Arial" w:cs="Arial"/>
                <w:sz w:val="14"/>
              </w:rPr>
              <w:t>21</w:t>
            </w:r>
          </w:p>
        </w:tc>
        <w:tc>
          <w:tcPr>
            <w:tcW w:w="708" w:type="dxa"/>
            <w:tcBorders>
              <w:top w:val="single" w:sz="6" w:space="0" w:color="000000"/>
              <w:left w:val="single" w:sz="6" w:space="0" w:color="000000"/>
              <w:bottom w:val="single" w:sz="6" w:space="0" w:color="000000"/>
              <w:right w:val="single" w:sz="6" w:space="0" w:color="000000"/>
            </w:tcBorders>
          </w:tcPr>
          <w:p w:rsidR="002642C9" w:rsidRDefault="00484198">
            <w:pPr>
              <w:spacing w:after="0" w:line="259" w:lineRule="auto"/>
              <w:ind w:left="0" w:right="11" w:firstLine="0"/>
              <w:jc w:val="center"/>
            </w:pPr>
            <w:r>
              <w:rPr>
                <w:rFonts w:ascii="Arial" w:eastAsia="Arial" w:hAnsi="Arial" w:cs="Arial"/>
                <w:sz w:val="14"/>
              </w:rPr>
              <w:t>419</w:t>
            </w:r>
          </w:p>
        </w:tc>
        <w:tc>
          <w:tcPr>
            <w:tcW w:w="561" w:type="dxa"/>
            <w:tcBorders>
              <w:top w:val="single" w:sz="6" w:space="0" w:color="000000"/>
              <w:left w:val="single" w:sz="6" w:space="0" w:color="000000"/>
              <w:bottom w:val="single" w:sz="6" w:space="0" w:color="000000"/>
              <w:right w:val="single" w:sz="5" w:space="0" w:color="000000"/>
            </w:tcBorders>
          </w:tcPr>
          <w:p w:rsidR="002642C9" w:rsidRDefault="00484198">
            <w:pPr>
              <w:spacing w:after="0" w:line="259" w:lineRule="auto"/>
              <w:ind w:left="1" w:firstLine="0"/>
              <w:jc w:val="center"/>
            </w:pPr>
            <w:r>
              <w:rPr>
                <w:rFonts w:ascii="Arial" w:eastAsia="Arial" w:hAnsi="Arial" w:cs="Arial"/>
                <w:sz w:val="14"/>
              </w:rPr>
              <w:t>377</w:t>
            </w:r>
          </w:p>
        </w:tc>
      </w:tr>
      <w:tr w:rsidR="002642C9">
        <w:trPr>
          <w:trHeight w:val="300"/>
        </w:trPr>
        <w:tc>
          <w:tcPr>
            <w:tcW w:w="739" w:type="dxa"/>
            <w:tcBorders>
              <w:top w:val="single" w:sz="6" w:space="0" w:color="000000"/>
              <w:left w:val="single" w:sz="5" w:space="0" w:color="000000"/>
              <w:bottom w:val="single" w:sz="6" w:space="0" w:color="000000"/>
              <w:right w:val="single" w:sz="11" w:space="0" w:color="000000"/>
            </w:tcBorders>
            <w:vAlign w:val="bottom"/>
          </w:tcPr>
          <w:p w:rsidR="002642C9" w:rsidRDefault="00484198">
            <w:pPr>
              <w:spacing w:after="0" w:line="259" w:lineRule="auto"/>
              <w:ind w:left="0" w:right="27" w:firstLine="0"/>
              <w:jc w:val="right"/>
            </w:pPr>
            <w:r>
              <w:rPr>
                <w:rFonts w:ascii="Arial" w:eastAsia="Arial" w:hAnsi="Arial" w:cs="Arial"/>
                <w:sz w:val="14"/>
              </w:rPr>
              <w:t>2006</w:t>
            </w:r>
          </w:p>
        </w:tc>
        <w:tc>
          <w:tcPr>
            <w:tcW w:w="1326" w:type="dxa"/>
            <w:tcBorders>
              <w:top w:val="single" w:sz="6" w:space="0" w:color="000000"/>
              <w:left w:val="single" w:sz="11" w:space="0" w:color="000000"/>
              <w:bottom w:val="single" w:sz="6" w:space="0" w:color="000000"/>
              <w:right w:val="single" w:sz="12" w:space="0" w:color="000000"/>
            </w:tcBorders>
            <w:vAlign w:val="bottom"/>
          </w:tcPr>
          <w:p w:rsidR="002642C9" w:rsidRDefault="00484198">
            <w:pPr>
              <w:spacing w:after="0" w:line="259" w:lineRule="auto"/>
              <w:ind w:left="0" w:firstLine="0"/>
            </w:pPr>
            <w:r>
              <w:rPr>
                <w:rFonts w:ascii="Arial" w:eastAsia="Arial" w:hAnsi="Arial" w:cs="Arial"/>
                <w:sz w:val="14"/>
              </w:rPr>
              <w:t>Brno</w:t>
            </w:r>
          </w:p>
        </w:tc>
        <w:tc>
          <w:tcPr>
            <w:tcW w:w="1293" w:type="dxa"/>
            <w:tcBorders>
              <w:top w:val="single" w:sz="6" w:space="0" w:color="000000"/>
              <w:left w:val="single" w:sz="12" w:space="0" w:color="000000"/>
              <w:bottom w:val="single" w:sz="6" w:space="0" w:color="000000"/>
              <w:right w:val="single" w:sz="6" w:space="0" w:color="000000"/>
            </w:tcBorders>
          </w:tcPr>
          <w:p w:rsidR="002642C9" w:rsidRDefault="00484198">
            <w:pPr>
              <w:spacing w:after="0" w:line="259" w:lineRule="auto"/>
              <w:ind w:left="0" w:right="12" w:firstLine="0"/>
              <w:jc w:val="center"/>
            </w:pPr>
            <w:r>
              <w:rPr>
                <w:rFonts w:ascii="Arial" w:eastAsia="Arial" w:hAnsi="Arial" w:cs="Arial"/>
                <w:sz w:val="14"/>
              </w:rPr>
              <w:t>1 354 361</w:t>
            </w:r>
          </w:p>
        </w:tc>
        <w:tc>
          <w:tcPr>
            <w:tcW w:w="1326" w:type="dxa"/>
            <w:tcBorders>
              <w:top w:val="single" w:sz="6" w:space="0" w:color="000000"/>
              <w:left w:val="single" w:sz="6" w:space="0" w:color="000000"/>
              <w:bottom w:val="single" w:sz="6" w:space="0" w:color="000000"/>
              <w:right w:val="single" w:sz="5" w:space="0" w:color="000000"/>
            </w:tcBorders>
          </w:tcPr>
          <w:p w:rsidR="002642C9" w:rsidRDefault="00484198">
            <w:pPr>
              <w:spacing w:after="0" w:line="259" w:lineRule="auto"/>
              <w:ind w:left="0" w:right="13" w:firstLine="0"/>
              <w:jc w:val="center"/>
            </w:pPr>
            <w:r>
              <w:rPr>
                <w:rFonts w:ascii="Arial" w:eastAsia="Arial" w:hAnsi="Arial" w:cs="Arial"/>
                <w:sz w:val="14"/>
              </w:rPr>
              <w:t>533250 (39,4%)</w:t>
            </w:r>
          </w:p>
        </w:tc>
        <w:tc>
          <w:tcPr>
            <w:tcW w:w="1181" w:type="dxa"/>
            <w:tcBorders>
              <w:top w:val="single" w:sz="6" w:space="0" w:color="000000"/>
              <w:left w:val="single" w:sz="5" w:space="0" w:color="000000"/>
              <w:bottom w:val="single" w:sz="6" w:space="0" w:color="000000"/>
              <w:right w:val="single" w:sz="5" w:space="0" w:color="000000"/>
            </w:tcBorders>
          </w:tcPr>
          <w:p w:rsidR="002642C9" w:rsidRDefault="00484198">
            <w:pPr>
              <w:spacing w:after="0" w:line="259" w:lineRule="auto"/>
              <w:ind w:left="0" w:right="14" w:firstLine="0"/>
              <w:jc w:val="center"/>
            </w:pPr>
            <w:r>
              <w:rPr>
                <w:rFonts w:ascii="Arial" w:eastAsia="Arial" w:hAnsi="Arial" w:cs="Arial"/>
                <w:sz w:val="14"/>
              </w:rPr>
              <w:t>3 772</w:t>
            </w:r>
          </w:p>
        </w:tc>
        <w:tc>
          <w:tcPr>
            <w:tcW w:w="877" w:type="dxa"/>
            <w:tcBorders>
              <w:top w:val="single" w:sz="6" w:space="0" w:color="000000"/>
              <w:left w:val="single" w:sz="5" w:space="0" w:color="000000"/>
              <w:bottom w:val="single" w:sz="6" w:space="0" w:color="000000"/>
              <w:right w:val="single" w:sz="6" w:space="0" w:color="000000"/>
            </w:tcBorders>
          </w:tcPr>
          <w:p w:rsidR="002642C9" w:rsidRDefault="00484198">
            <w:pPr>
              <w:spacing w:after="0" w:line="259" w:lineRule="auto"/>
              <w:ind w:left="0" w:right="13" w:firstLine="0"/>
              <w:jc w:val="center"/>
            </w:pPr>
            <w:r>
              <w:rPr>
                <w:rFonts w:ascii="Arial" w:eastAsia="Arial" w:hAnsi="Arial" w:cs="Arial"/>
                <w:sz w:val="14"/>
              </w:rPr>
              <w:t>1 485</w:t>
            </w:r>
          </w:p>
        </w:tc>
        <w:tc>
          <w:tcPr>
            <w:tcW w:w="686" w:type="dxa"/>
            <w:tcBorders>
              <w:top w:val="single" w:sz="6" w:space="0" w:color="000000"/>
              <w:left w:val="single" w:sz="6" w:space="0" w:color="000000"/>
              <w:bottom w:val="single" w:sz="6" w:space="0" w:color="000000"/>
              <w:right w:val="single" w:sz="6" w:space="0" w:color="000000"/>
            </w:tcBorders>
          </w:tcPr>
          <w:p w:rsidR="002642C9" w:rsidRDefault="00484198">
            <w:pPr>
              <w:spacing w:after="0" w:line="259" w:lineRule="auto"/>
              <w:ind w:left="0" w:right="11" w:firstLine="0"/>
              <w:jc w:val="center"/>
            </w:pPr>
            <w:r>
              <w:rPr>
                <w:rFonts w:ascii="Arial" w:eastAsia="Arial" w:hAnsi="Arial" w:cs="Arial"/>
                <w:sz w:val="14"/>
              </w:rPr>
              <w:t>20</w:t>
            </w:r>
          </w:p>
        </w:tc>
        <w:tc>
          <w:tcPr>
            <w:tcW w:w="708" w:type="dxa"/>
            <w:tcBorders>
              <w:top w:val="single" w:sz="6" w:space="0" w:color="000000"/>
              <w:left w:val="single" w:sz="6" w:space="0" w:color="000000"/>
              <w:bottom w:val="single" w:sz="6" w:space="0" w:color="000000"/>
              <w:right w:val="single" w:sz="6" w:space="0" w:color="000000"/>
            </w:tcBorders>
          </w:tcPr>
          <w:p w:rsidR="002642C9" w:rsidRDefault="00484198">
            <w:pPr>
              <w:spacing w:after="0" w:line="259" w:lineRule="auto"/>
              <w:ind w:left="0" w:right="11" w:firstLine="0"/>
              <w:jc w:val="center"/>
            </w:pPr>
            <w:r>
              <w:rPr>
                <w:rFonts w:ascii="Arial" w:eastAsia="Arial" w:hAnsi="Arial" w:cs="Arial"/>
                <w:sz w:val="14"/>
              </w:rPr>
              <w:t>450</w:t>
            </w:r>
          </w:p>
        </w:tc>
        <w:tc>
          <w:tcPr>
            <w:tcW w:w="561" w:type="dxa"/>
            <w:tcBorders>
              <w:top w:val="single" w:sz="6" w:space="0" w:color="000000"/>
              <w:left w:val="single" w:sz="6" w:space="0" w:color="000000"/>
              <w:bottom w:val="single" w:sz="6" w:space="0" w:color="000000"/>
              <w:right w:val="single" w:sz="5" w:space="0" w:color="000000"/>
            </w:tcBorders>
          </w:tcPr>
          <w:p w:rsidR="002642C9" w:rsidRDefault="00484198">
            <w:pPr>
              <w:spacing w:after="0" w:line="259" w:lineRule="auto"/>
              <w:ind w:left="1" w:firstLine="0"/>
              <w:jc w:val="center"/>
            </w:pPr>
            <w:r>
              <w:rPr>
                <w:rFonts w:ascii="Arial" w:eastAsia="Arial" w:hAnsi="Arial" w:cs="Arial"/>
                <w:sz w:val="14"/>
              </w:rPr>
              <w:t>395</w:t>
            </w:r>
          </w:p>
        </w:tc>
      </w:tr>
      <w:tr w:rsidR="002642C9">
        <w:trPr>
          <w:trHeight w:val="293"/>
        </w:trPr>
        <w:tc>
          <w:tcPr>
            <w:tcW w:w="739" w:type="dxa"/>
            <w:tcBorders>
              <w:top w:val="single" w:sz="6" w:space="0" w:color="000000"/>
              <w:left w:val="single" w:sz="5" w:space="0" w:color="000000"/>
              <w:bottom w:val="single" w:sz="5" w:space="0" w:color="000000"/>
              <w:right w:val="single" w:sz="11" w:space="0" w:color="000000"/>
            </w:tcBorders>
            <w:vAlign w:val="bottom"/>
          </w:tcPr>
          <w:p w:rsidR="002642C9" w:rsidRDefault="00484198">
            <w:pPr>
              <w:spacing w:after="0" w:line="259" w:lineRule="auto"/>
              <w:ind w:left="0" w:right="27" w:firstLine="0"/>
              <w:jc w:val="right"/>
            </w:pPr>
            <w:r>
              <w:rPr>
                <w:rFonts w:ascii="Arial" w:eastAsia="Arial" w:hAnsi="Arial" w:cs="Arial"/>
                <w:sz w:val="14"/>
              </w:rPr>
              <w:t>1998</w:t>
            </w:r>
          </w:p>
        </w:tc>
        <w:tc>
          <w:tcPr>
            <w:tcW w:w="1326" w:type="dxa"/>
            <w:tcBorders>
              <w:top w:val="single" w:sz="6" w:space="0" w:color="000000"/>
              <w:left w:val="single" w:sz="11" w:space="0" w:color="000000"/>
              <w:bottom w:val="single" w:sz="9" w:space="0" w:color="000000"/>
              <w:right w:val="single" w:sz="12" w:space="0" w:color="000000"/>
            </w:tcBorders>
            <w:vAlign w:val="bottom"/>
          </w:tcPr>
          <w:p w:rsidR="002642C9" w:rsidRDefault="00484198">
            <w:pPr>
              <w:spacing w:after="0" w:line="259" w:lineRule="auto"/>
              <w:ind w:left="0" w:firstLine="0"/>
            </w:pPr>
            <w:r>
              <w:rPr>
                <w:rFonts w:ascii="Arial" w:eastAsia="Arial" w:hAnsi="Arial" w:cs="Arial"/>
                <w:sz w:val="14"/>
              </w:rPr>
              <w:t>Ostrava</w:t>
            </w:r>
          </w:p>
        </w:tc>
        <w:tc>
          <w:tcPr>
            <w:tcW w:w="1293" w:type="dxa"/>
            <w:tcBorders>
              <w:top w:val="single" w:sz="6" w:space="0" w:color="000000"/>
              <w:left w:val="single" w:sz="12" w:space="0" w:color="000000"/>
              <w:bottom w:val="single" w:sz="5" w:space="0" w:color="000000"/>
              <w:right w:val="single" w:sz="6" w:space="0" w:color="000000"/>
            </w:tcBorders>
          </w:tcPr>
          <w:p w:rsidR="002642C9" w:rsidRDefault="00484198">
            <w:pPr>
              <w:spacing w:after="0" w:line="259" w:lineRule="auto"/>
              <w:ind w:left="0" w:right="12" w:firstLine="0"/>
              <w:jc w:val="center"/>
            </w:pPr>
            <w:r>
              <w:rPr>
                <w:rFonts w:ascii="Arial" w:eastAsia="Arial" w:hAnsi="Arial" w:cs="Arial"/>
                <w:sz w:val="14"/>
              </w:rPr>
              <w:t>1 370 000</w:t>
            </w:r>
          </w:p>
        </w:tc>
        <w:tc>
          <w:tcPr>
            <w:tcW w:w="1326" w:type="dxa"/>
            <w:tcBorders>
              <w:top w:val="single" w:sz="6" w:space="0" w:color="000000"/>
              <w:left w:val="single" w:sz="6" w:space="0" w:color="000000"/>
              <w:bottom w:val="single" w:sz="5" w:space="0" w:color="000000"/>
              <w:right w:val="single" w:sz="5" w:space="0" w:color="000000"/>
            </w:tcBorders>
          </w:tcPr>
          <w:p w:rsidR="002642C9" w:rsidRDefault="002642C9">
            <w:pPr>
              <w:spacing w:after="160" w:line="259" w:lineRule="auto"/>
              <w:ind w:left="0" w:firstLine="0"/>
            </w:pPr>
          </w:p>
        </w:tc>
        <w:tc>
          <w:tcPr>
            <w:tcW w:w="1181" w:type="dxa"/>
            <w:tcBorders>
              <w:top w:val="single" w:sz="6" w:space="0" w:color="000000"/>
              <w:left w:val="single" w:sz="5" w:space="0" w:color="000000"/>
              <w:bottom w:val="single" w:sz="5" w:space="0" w:color="000000"/>
              <w:right w:val="single" w:sz="5" w:space="0" w:color="000000"/>
            </w:tcBorders>
          </w:tcPr>
          <w:p w:rsidR="002642C9" w:rsidRDefault="002642C9">
            <w:pPr>
              <w:spacing w:after="160" w:line="259" w:lineRule="auto"/>
              <w:ind w:left="0" w:firstLine="0"/>
            </w:pPr>
          </w:p>
        </w:tc>
        <w:tc>
          <w:tcPr>
            <w:tcW w:w="877" w:type="dxa"/>
            <w:tcBorders>
              <w:top w:val="single" w:sz="6" w:space="0" w:color="000000"/>
              <w:left w:val="single" w:sz="5" w:space="0" w:color="000000"/>
              <w:bottom w:val="single" w:sz="5" w:space="0" w:color="000000"/>
              <w:right w:val="single" w:sz="6" w:space="0" w:color="000000"/>
            </w:tcBorders>
          </w:tcPr>
          <w:p w:rsidR="002642C9" w:rsidRDefault="002642C9">
            <w:pPr>
              <w:spacing w:after="160" w:line="259" w:lineRule="auto"/>
              <w:ind w:left="0" w:firstLine="0"/>
            </w:pPr>
          </w:p>
        </w:tc>
        <w:tc>
          <w:tcPr>
            <w:tcW w:w="686" w:type="dxa"/>
            <w:tcBorders>
              <w:top w:val="single" w:sz="6" w:space="0" w:color="000000"/>
              <w:left w:val="single" w:sz="6" w:space="0" w:color="000000"/>
              <w:bottom w:val="single" w:sz="5" w:space="0" w:color="000000"/>
              <w:right w:val="single" w:sz="6" w:space="0" w:color="000000"/>
            </w:tcBorders>
          </w:tcPr>
          <w:p w:rsidR="002642C9" w:rsidRDefault="00484198">
            <w:pPr>
              <w:spacing w:after="0" w:line="259" w:lineRule="auto"/>
              <w:ind w:left="0" w:right="11" w:firstLine="0"/>
              <w:jc w:val="center"/>
            </w:pPr>
            <w:r>
              <w:rPr>
                <w:rFonts w:ascii="Arial" w:eastAsia="Arial" w:hAnsi="Arial" w:cs="Arial"/>
                <w:sz w:val="14"/>
              </w:rPr>
              <w:t>11</w:t>
            </w:r>
          </w:p>
        </w:tc>
        <w:tc>
          <w:tcPr>
            <w:tcW w:w="708" w:type="dxa"/>
            <w:tcBorders>
              <w:top w:val="single" w:sz="6" w:space="0" w:color="000000"/>
              <w:left w:val="single" w:sz="6" w:space="0" w:color="000000"/>
              <w:bottom w:val="single" w:sz="5" w:space="0" w:color="000000"/>
              <w:right w:val="single" w:sz="6" w:space="0" w:color="000000"/>
            </w:tcBorders>
          </w:tcPr>
          <w:p w:rsidR="002642C9" w:rsidRDefault="00484198">
            <w:pPr>
              <w:spacing w:after="0" w:line="259" w:lineRule="auto"/>
              <w:ind w:left="0" w:right="11" w:firstLine="0"/>
              <w:jc w:val="center"/>
            </w:pPr>
            <w:r>
              <w:rPr>
                <w:rFonts w:ascii="Arial" w:eastAsia="Arial" w:hAnsi="Arial" w:cs="Arial"/>
                <w:sz w:val="14"/>
              </w:rPr>
              <w:t>279</w:t>
            </w:r>
          </w:p>
        </w:tc>
        <w:tc>
          <w:tcPr>
            <w:tcW w:w="561" w:type="dxa"/>
            <w:tcBorders>
              <w:top w:val="single" w:sz="6" w:space="0" w:color="000000"/>
              <w:left w:val="single" w:sz="6" w:space="0" w:color="000000"/>
              <w:bottom w:val="single" w:sz="5" w:space="0" w:color="000000"/>
              <w:right w:val="single" w:sz="5" w:space="0" w:color="000000"/>
            </w:tcBorders>
          </w:tcPr>
          <w:p w:rsidR="002642C9" w:rsidRDefault="00484198">
            <w:pPr>
              <w:spacing w:after="0" w:line="259" w:lineRule="auto"/>
              <w:ind w:left="1" w:firstLine="0"/>
              <w:jc w:val="center"/>
            </w:pPr>
            <w:r>
              <w:rPr>
                <w:rFonts w:ascii="Arial" w:eastAsia="Arial" w:hAnsi="Arial" w:cs="Arial"/>
                <w:sz w:val="14"/>
              </w:rPr>
              <w:t>197</w:t>
            </w:r>
          </w:p>
        </w:tc>
      </w:tr>
    </w:tbl>
    <w:p w:rsidR="002642C9" w:rsidRDefault="00484198">
      <w:pPr>
        <w:pStyle w:val="Nadpis1"/>
        <w:ind w:left="-5"/>
      </w:pPr>
      <w:r>
        <w:t>Vzdělání kléru</w:t>
      </w:r>
    </w:p>
    <w:p w:rsidR="002642C9" w:rsidRDefault="00484198">
      <w:pPr>
        <w:ind w:left="-5" w:right="179"/>
      </w:pPr>
      <w:r>
        <w:t>Tak značný nárůst farních obvodů vyžadoval mnohem více kněží, než jich bylo na Moravě k dispozici i při zapojení kněží zrušených klášterů. Snaha Josefa II. i dvorské duchovní komise napomoci nárůstu duchovních například prostřednictvím nově zřízených generálních seminářů,</w:t>
      </w:r>
      <w:r>
        <w:rPr>
          <w:vertAlign w:val="superscript"/>
        </w:rPr>
        <w:footnoteReference w:id="14"/>
      </w:r>
      <w:r>
        <w:t xml:space="preserve"> dále i kněžských domů v diecézích</w:t>
      </w:r>
      <w:r>
        <w:rPr>
          <w:vertAlign w:val="superscript"/>
        </w:rPr>
        <w:footnoteReference w:id="15"/>
      </w:r>
      <w:r>
        <w:t xml:space="preserve"> je nedostatečná. Církev těžce nese ztrátu řeholních učilišť i učilišť pod správou diecézních biskupů. Pro vysokoškolské studium je ale nedostatek zájemců i z důvodu značného zmenšení počtu gymnázií dané hlavně rušením jezuitských gymnázií.</w:t>
      </w:r>
    </w:p>
    <w:p w:rsidR="002642C9" w:rsidRDefault="00484198">
      <w:pPr>
        <w:spacing w:after="62"/>
        <w:ind w:left="-5" w:right="3"/>
      </w:pPr>
      <w:r>
        <w:t xml:space="preserve">Nedostatek zájemců o kněžskou službu je ovlivňován i materiálními důvody. Z následující tabulky je zřejmé rozdělení moravských far do šesti příjmových tříd, jak bylo dáno ustanovením olomouckého biskupa </w:t>
      </w:r>
      <w:r w:rsidRPr="00783224">
        <w:rPr>
          <w:color w:val="FF0000"/>
        </w:rPr>
        <w:t>Ferdinanda Troyera</w:t>
      </w:r>
      <w:r>
        <w:t xml:space="preserve">. Statistický popis diecéze z roku </w:t>
      </w:r>
      <w:r w:rsidRPr="00783224">
        <w:rPr>
          <w:color w:val="00B050"/>
        </w:rPr>
        <w:t xml:space="preserve">1772 </w:t>
      </w:r>
      <w:r>
        <w:t>uvádí:</w:t>
      </w:r>
      <w:r>
        <w:rPr>
          <w:vertAlign w:val="superscript"/>
        </w:rPr>
        <w:footnoteReference w:id="16"/>
      </w:r>
    </w:p>
    <w:p w:rsidR="005A7911" w:rsidRDefault="005A7911">
      <w:pPr>
        <w:spacing w:after="62"/>
        <w:ind w:left="-5" w:right="3"/>
      </w:pPr>
    </w:p>
    <w:p w:rsidR="002642C9" w:rsidRDefault="00484198">
      <w:pPr>
        <w:spacing w:after="0" w:line="259" w:lineRule="auto"/>
        <w:ind w:left="0" w:right="1" w:firstLine="0"/>
        <w:jc w:val="center"/>
      </w:pPr>
      <w:r>
        <w:lastRenderedPageBreak/>
        <w:t>Členění farností podle materiálního zabezpečení</w:t>
      </w:r>
    </w:p>
    <w:tbl>
      <w:tblPr>
        <w:tblStyle w:val="TableGrid"/>
        <w:tblW w:w="7788" w:type="dxa"/>
        <w:tblInd w:w="641" w:type="dxa"/>
        <w:tblCellMar>
          <w:top w:w="115" w:type="dxa"/>
          <w:left w:w="36" w:type="dxa"/>
          <w:bottom w:w="17" w:type="dxa"/>
          <w:right w:w="35" w:type="dxa"/>
        </w:tblCellMar>
        <w:tblLook w:val="04A0" w:firstRow="1" w:lastRow="0" w:firstColumn="1" w:lastColumn="0" w:noHBand="0" w:noVBand="1"/>
      </w:tblPr>
      <w:tblGrid>
        <w:gridCol w:w="2299"/>
        <w:gridCol w:w="2448"/>
        <w:gridCol w:w="1800"/>
        <w:gridCol w:w="1241"/>
      </w:tblGrid>
      <w:tr w:rsidR="002642C9">
        <w:trPr>
          <w:trHeight w:val="372"/>
        </w:trPr>
        <w:tc>
          <w:tcPr>
            <w:tcW w:w="2299" w:type="dxa"/>
            <w:tcBorders>
              <w:top w:val="single" w:sz="12" w:space="0" w:color="000000"/>
              <w:left w:val="single" w:sz="12" w:space="0" w:color="000000"/>
              <w:bottom w:val="single" w:sz="15" w:space="0" w:color="000000"/>
              <w:right w:val="single" w:sz="15" w:space="0" w:color="000000"/>
            </w:tcBorders>
          </w:tcPr>
          <w:p w:rsidR="002642C9" w:rsidRDefault="00484198">
            <w:pPr>
              <w:spacing w:after="0" w:line="259" w:lineRule="auto"/>
              <w:ind w:left="13" w:firstLine="0"/>
              <w:jc w:val="center"/>
            </w:pPr>
            <w:r>
              <w:t>příjem</w:t>
            </w:r>
          </w:p>
        </w:tc>
        <w:tc>
          <w:tcPr>
            <w:tcW w:w="2448" w:type="dxa"/>
            <w:tcBorders>
              <w:top w:val="single" w:sz="12" w:space="0" w:color="000000"/>
              <w:left w:val="single" w:sz="15" w:space="0" w:color="000000"/>
              <w:bottom w:val="single" w:sz="15" w:space="0" w:color="000000"/>
              <w:right w:val="single" w:sz="15" w:space="0" w:color="000000"/>
            </w:tcBorders>
          </w:tcPr>
          <w:p w:rsidR="002642C9" w:rsidRDefault="00484198">
            <w:pPr>
              <w:spacing w:after="0" w:line="259" w:lineRule="auto"/>
              <w:ind w:left="17" w:firstLine="0"/>
              <w:jc w:val="center"/>
            </w:pPr>
            <w:r>
              <w:t>zlatých ročně</w:t>
            </w:r>
          </w:p>
        </w:tc>
        <w:tc>
          <w:tcPr>
            <w:tcW w:w="1800" w:type="dxa"/>
            <w:tcBorders>
              <w:top w:val="single" w:sz="12" w:space="0" w:color="000000"/>
              <w:left w:val="single" w:sz="15" w:space="0" w:color="000000"/>
              <w:bottom w:val="single" w:sz="15" w:space="0" w:color="000000"/>
              <w:right w:val="single" w:sz="15" w:space="0" w:color="000000"/>
            </w:tcBorders>
          </w:tcPr>
          <w:p w:rsidR="002642C9" w:rsidRDefault="00484198">
            <w:pPr>
              <w:spacing w:after="0" w:line="259" w:lineRule="auto"/>
              <w:ind w:left="17" w:firstLine="0"/>
              <w:jc w:val="center"/>
            </w:pPr>
            <w:r>
              <w:t>celkem far</w:t>
            </w:r>
          </w:p>
        </w:tc>
        <w:tc>
          <w:tcPr>
            <w:tcW w:w="1241" w:type="dxa"/>
            <w:tcBorders>
              <w:top w:val="single" w:sz="12" w:space="0" w:color="000000"/>
              <w:left w:val="single" w:sz="15" w:space="0" w:color="000000"/>
              <w:bottom w:val="single" w:sz="15" w:space="0" w:color="000000"/>
              <w:right w:val="single" w:sz="12" w:space="0" w:color="000000"/>
            </w:tcBorders>
          </w:tcPr>
          <w:p w:rsidR="002642C9" w:rsidRDefault="002642C9">
            <w:pPr>
              <w:spacing w:after="160" w:line="259" w:lineRule="auto"/>
              <w:ind w:left="0" w:firstLine="0"/>
            </w:pPr>
          </w:p>
        </w:tc>
      </w:tr>
      <w:tr w:rsidR="002642C9">
        <w:trPr>
          <w:trHeight w:val="376"/>
        </w:trPr>
        <w:tc>
          <w:tcPr>
            <w:tcW w:w="2299" w:type="dxa"/>
            <w:tcBorders>
              <w:top w:val="single" w:sz="15" w:space="0" w:color="000000"/>
              <w:left w:val="single" w:sz="12" w:space="0" w:color="000000"/>
              <w:bottom w:val="single" w:sz="8" w:space="0" w:color="000000"/>
              <w:right w:val="single" w:sz="8" w:space="0" w:color="000000"/>
            </w:tcBorders>
            <w:vAlign w:val="bottom"/>
          </w:tcPr>
          <w:p w:rsidR="002642C9" w:rsidRDefault="00484198">
            <w:pPr>
              <w:spacing w:after="0" w:line="259" w:lineRule="auto"/>
              <w:ind w:left="0" w:firstLine="0"/>
            </w:pPr>
            <w:r>
              <w:t>1. tř</w:t>
            </w:r>
          </w:p>
        </w:tc>
        <w:tc>
          <w:tcPr>
            <w:tcW w:w="2448" w:type="dxa"/>
            <w:tcBorders>
              <w:top w:val="single" w:sz="15" w:space="0" w:color="000000"/>
              <w:left w:val="single" w:sz="8" w:space="0" w:color="000000"/>
              <w:bottom w:val="single" w:sz="8" w:space="0" w:color="000000"/>
              <w:right w:val="single" w:sz="8" w:space="0" w:color="000000"/>
            </w:tcBorders>
            <w:vAlign w:val="bottom"/>
          </w:tcPr>
          <w:p w:rsidR="002642C9" w:rsidRDefault="00484198">
            <w:pPr>
              <w:spacing w:after="0" w:line="259" w:lineRule="auto"/>
              <w:ind w:left="19" w:firstLine="0"/>
              <w:jc w:val="center"/>
            </w:pPr>
            <w:r>
              <w:t>1800 - 2000</w:t>
            </w:r>
          </w:p>
        </w:tc>
        <w:tc>
          <w:tcPr>
            <w:tcW w:w="1800" w:type="dxa"/>
            <w:tcBorders>
              <w:top w:val="single" w:sz="15" w:space="0" w:color="000000"/>
              <w:left w:val="single" w:sz="8" w:space="0" w:color="000000"/>
              <w:bottom w:val="single" w:sz="8" w:space="0" w:color="000000"/>
              <w:right w:val="single" w:sz="8" w:space="0" w:color="000000"/>
            </w:tcBorders>
            <w:vAlign w:val="bottom"/>
          </w:tcPr>
          <w:p w:rsidR="002642C9" w:rsidRDefault="00484198">
            <w:pPr>
              <w:spacing w:after="0" w:line="259" w:lineRule="auto"/>
              <w:ind w:left="0" w:right="6" w:firstLine="0"/>
              <w:jc w:val="right"/>
            </w:pPr>
            <w:r>
              <w:t>10</w:t>
            </w:r>
          </w:p>
        </w:tc>
        <w:tc>
          <w:tcPr>
            <w:tcW w:w="1241" w:type="dxa"/>
            <w:tcBorders>
              <w:top w:val="single" w:sz="15" w:space="0" w:color="000000"/>
              <w:left w:val="single" w:sz="8" w:space="0" w:color="000000"/>
              <w:bottom w:val="single" w:sz="8" w:space="0" w:color="000000"/>
              <w:right w:val="single" w:sz="12" w:space="0" w:color="000000"/>
            </w:tcBorders>
            <w:vAlign w:val="bottom"/>
          </w:tcPr>
          <w:p w:rsidR="002642C9" w:rsidRDefault="00484198">
            <w:pPr>
              <w:spacing w:after="0" w:line="259" w:lineRule="auto"/>
              <w:ind w:left="0" w:firstLine="0"/>
              <w:jc w:val="right"/>
            </w:pPr>
            <w:r>
              <w:t>1,75%</w:t>
            </w:r>
          </w:p>
        </w:tc>
      </w:tr>
      <w:tr w:rsidR="002642C9">
        <w:trPr>
          <w:trHeight w:val="377"/>
        </w:trPr>
        <w:tc>
          <w:tcPr>
            <w:tcW w:w="2299" w:type="dxa"/>
            <w:tcBorders>
              <w:top w:val="single" w:sz="8" w:space="0" w:color="000000"/>
              <w:left w:val="single" w:sz="12" w:space="0" w:color="000000"/>
              <w:bottom w:val="single" w:sz="8" w:space="0" w:color="000000"/>
              <w:right w:val="single" w:sz="8" w:space="0" w:color="000000"/>
            </w:tcBorders>
            <w:vAlign w:val="bottom"/>
          </w:tcPr>
          <w:p w:rsidR="002642C9" w:rsidRDefault="00484198">
            <w:pPr>
              <w:spacing w:after="0" w:line="259" w:lineRule="auto"/>
              <w:ind w:left="0" w:firstLine="0"/>
            </w:pPr>
            <w:r>
              <w:t>2. tř.</w:t>
            </w:r>
          </w:p>
        </w:tc>
        <w:tc>
          <w:tcPr>
            <w:tcW w:w="2448" w:type="dxa"/>
            <w:tcBorders>
              <w:top w:val="single" w:sz="8" w:space="0" w:color="000000"/>
              <w:left w:val="single" w:sz="8" w:space="0" w:color="000000"/>
              <w:bottom w:val="single" w:sz="8" w:space="0" w:color="000000"/>
              <w:right w:val="single" w:sz="8" w:space="0" w:color="000000"/>
            </w:tcBorders>
            <w:vAlign w:val="bottom"/>
          </w:tcPr>
          <w:p w:rsidR="002642C9" w:rsidRDefault="00484198">
            <w:pPr>
              <w:spacing w:after="0" w:line="259" w:lineRule="auto"/>
              <w:ind w:left="19" w:firstLine="0"/>
              <w:jc w:val="center"/>
            </w:pPr>
            <w:r>
              <w:t>1100 - 1200</w:t>
            </w:r>
          </w:p>
        </w:tc>
        <w:tc>
          <w:tcPr>
            <w:tcW w:w="1800" w:type="dxa"/>
            <w:tcBorders>
              <w:top w:val="single" w:sz="8" w:space="0" w:color="000000"/>
              <w:left w:val="single" w:sz="8" w:space="0" w:color="000000"/>
              <w:bottom w:val="single" w:sz="8" w:space="0" w:color="000000"/>
              <w:right w:val="single" w:sz="8" w:space="0" w:color="000000"/>
            </w:tcBorders>
            <w:vAlign w:val="bottom"/>
          </w:tcPr>
          <w:p w:rsidR="002642C9" w:rsidRDefault="00484198">
            <w:pPr>
              <w:spacing w:after="0" w:line="259" w:lineRule="auto"/>
              <w:ind w:left="0" w:right="6" w:firstLine="0"/>
              <w:jc w:val="right"/>
            </w:pPr>
            <w:r>
              <w:t>10</w:t>
            </w:r>
          </w:p>
        </w:tc>
        <w:tc>
          <w:tcPr>
            <w:tcW w:w="1241" w:type="dxa"/>
            <w:tcBorders>
              <w:top w:val="single" w:sz="8" w:space="0" w:color="000000"/>
              <w:left w:val="single" w:sz="8" w:space="0" w:color="000000"/>
              <w:bottom w:val="single" w:sz="8" w:space="0" w:color="000000"/>
              <w:right w:val="single" w:sz="12" w:space="0" w:color="000000"/>
            </w:tcBorders>
            <w:vAlign w:val="bottom"/>
          </w:tcPr>
          <w:p w:rsidR="002642C9" w:rsidRDefault="00484198">
            <w:pPr>
              <w:spacing w:after="0" w:line="259" w:lineRule="auto"/>
              <w:ind w:left="0" w:firstLine="0"/>
              <w:jc w:val="right"/>
            </w:pPr>
            <w:r>
              <w:t>1,75%</w:t>
            </w:r>
          </w:p>
        </w:tc>
      </w:tr>
      <w:tr w:rsidR="002642C9">
        <w:trPr>
          <w:trHeight w:val="376"/>
        </w:trPr>
        <w:tc>
          <w:tcPr>
            <w:tcW w:w="2299" w:type="dxa"/>
            <w:tcBorders>
              <w:top w:val="single" w:sz="8" w:space="0" w:color="000000"/>
              <w:left w:val="single" w:sz="12" w:space="0" w:color="000000"/>
              <w:bottom w:val="single" w:sz="7" w:space="0" w:color="000000"/>
              <w:right w:val="single" w:sz="8" w:space="0" w:color="000000"/>
            </w:tcBorders>
            <w:vAlign w:val="bottom"/>
          </w:tcPr>
          <w:p w:rsidR="002642C9" w:rsidRDefault="00484198">
            <w:pPr>
              <w:spacing w:after="0" w:line="259" w:lineRule="auto"/>
              <w:ind w:left="0" w:firstLine="0"/>
            </w:pPr>
            <w:r>
              <w:t>3. tř.</w:t>
            </w:r>
          </w:p>
        </w:tc>
        <w:tc>
          <w:tcPr>
            <w:tcW w:w="2448" w:type="dxa"/>
            <w:tcBorders>
              <w:top w:val="single" w:sz="8" w:space="0" w:color="000000"/>
              <w:left w:val="single" w:sz="8" w:space="0" w:color="000000"/>
              <w:bottom w:val="single" w:sz="7" w:space="0" w:color="000000"/>
              <w:right w:val="single" w:sz="8" w:space="0" w:color="000000"/>
            </w:tcBorders>
            <w:vAlign w:val="bottom"/>
          </w:tcPr>
          <w:p w:rsidR="002642C9" w:rsidRDefault="00484198">
            <w:pPr>
              <w:spacing w:after="0" w:line="259" w:lineRule="auto"/>
              <w:ind w:left="19" w:firstLine="0"/>
              <w:jc w:val="center"/>
            </w:pPr>
            <w:r>
              <w:t xml:space="preserve"> 900  - 1000</w:t>
            </w:r>
          </w:p>
        </w:tc>
        <w:tc>
          <w:tcPr>
            <w:tcW w:w="1800" w:type="dxa"/>
            <w:tcBorders>
              <w:top w:val="single" w:sz="8" w:space="0" w:color="000000"/>
              <w:left w:val="single" w:sz="8" w:space="0" w:color="000000"/>
              <w:bottom w:val="single" w:sz="7" w:space="0" w:color="000000"/>
              <w:right w:val="single" w:sz="8" w:space="0" w:color="000000"/>
            </w:tcBorders>
            <w:vAlign w:val="bottom"/>
          </w:tcPr>
          <w:p w:rsidR="002642C9" w:rsidRDefault="00484198">
            <w:pPr>
              <w:spacing w:after="0" w:line="259" w:lineRule="auto"/>
              <w:ind w:left="0" w:right="6" w:firstLine="0"/>
              <w:jc w:val="right"/>
            </w:pPr>
            <w:r>
              <w:t>57</w:t>
            </w:r>
          </w:p>
        </w:tc>
        <w:tc>
          <w:tcPr>
            <w:tcW w:w="1241" w:type="dxa"/>
            <w:tcBorders>
              <w:top w:val="single" w:sz="8" w:space="0" w:color="000000"/>
              <w:left w:val="single" w:sz="8" w:space="0" w:color="000000"/>
              <w:bottom w:val="single" w:sz="7" w:space="0" w:color="000000"/>
              <w:right w:val="single" w:sz="12" w:space="0" w:color="000000"/>
            </w:tcBorders>
            <w:vAlign w:val="bottom"/>
          </w:tcPr>
          <w:p w:rsidR="002642C9" w:rsidRDefault="00484198">
            <w:pPr>
              <w:spacing w:after="0" w:line="259" w:lineRule="auto"/>
              <w:ind w:left="0" w:firstLine="0"/>
              <w:jc w:val="right"/>
            </w:pPr>
            <w:r>
              <w:t>9,93%</w:t>
            </w:r>
          </w:p>
        </w:tc>
      </w:tr>
      <w:tr w:rsidR="002642C9">
        <w:trPr>
          <w:trHeight w:val="376"/>
        </w:trPr>
        <w:tc>
          <w:tcPr>
            <w:tcW w:w="2299" w:type="dxa"/>
            <w:tcBorders>
              <w:top w:val="single" w:sz="7" w:space="0" w:color="000000"/>
              <w:left w:val="single" w:sz="12" w:space="0" w:color="000000"/>
              <w:bottom w:val="single" w:sz="8" w:space="0" w:color="000000"/>
              <w:right w:val="single" w:sz="8" w:space="0" w:color="000000"/>
            </w:tcBorders>
            <w:vAlign w:val="bottom"/>
          </w:tcPr>
          <w:p w:rsidR="002642C9" w:rsidRDefault="00484198">
            <w:pPr>
              <w:spacing w:after="0" w:line="259" w:lineRule="auto"/>
              <w:ind w:left="0" w:firstLine="0"/>
            </w:pPr>
            <w:r>
              <w:t>4. tř.</w:t>
            </w:r>
          </w:p>
        </w:tc>
        <w:tc>
          <w:tcPr>
            <w:tcW w:w="2448" w:type="dxa"/>
            <w:tcBorders>
              <w:top w:val="single" w:sz="7" w:space="0" w:color="000000"/>
              <w:left w:val="single" w:sz="8" w:space="0" w:color="000000"/>
              <w:bottom w:val="single" w:sz="8" w:space="0" w:color="000000"/>
              <w:right w:val="single" w:sz="8" w:space="0" w:color="000000"/>
            </w:tcBorders>
            <w:vAlign w:val="bottom"/>
          </w:tcPr>
          <w:p w:rsidR="002642C9" w:rsidRDefault="00484198">
            <w:pPr>
              <w:spacing w:after="0" w:line="259" w:lineRule="auto"/>
              <w:ind w:left="19" w:firstLine="0"/>
              <w:jc w:val="center"/>
            </w:pPr>
            <w:r>
              <w:t>700  -  800</w:t>
            </w:r>
          </w:p>
        </w:tc>
        <w:tc>
          <w:tcPr>
            <w:tcW w:w="1800" w:type="dxa"/>
            <w:tcBorders>
              <w:top w:val="single" w:sz="7" w:space="0" w:color="000000"/>
              <w:left w:val="single" w:sz="8" w:space="0" w:color="000000"/>
              <w:bottom w:val="single" w:sz="8" w:space="0" w:color="000000"/>
              <w:right w:val="single" w:sz="8" w:space="0" w:color="000000"/>
            </w:tcBorders>
            <w:vAlign w:val="bottom"/>
          </w:tcPr>
          <w:p w:rsidR="002642C9" w:rsidRDefault="00484198">
            <w:pPr>
              <w:spacing w:after="0" w:line="259" w:lineRule="auto"/>
              <w:ind w:left="0" w:right="6" w:firstLine="0"/>
              <w:jc w:val="right"/>
            </w:pPr>
            <w:r>
              <w:t>70</w:t>
            </w:r>
          </w:p>
        </w:tc>
        <w:tc>
          <w:tcPr>
            <w:tcW w:w="1241" w:type="dxa"/>
            <w:tcBorders>
              <w:top w:val="single" w:sz="7" w:space="0" w:color="000000"/>
              <w:left w:val="single" w:sz="8" w:space="0" w:color="000000"/>
              <w:bottom w:val="single" w:sz="8" w:space="0" w:color="000000"/>
              <w:right w:val="single" w:sz="12" w:space="0" w:color="000000"/>
            </w:tcBorders>
            <w:vAlign w:val="bottom"/>
          </w:tcPr>
          <w:p w:rsidR="002642C9" w:rsidRDefault="00484198">
            <w:pPr>
              <w:spacing w:after="0" w:line="259" w:lineRule="auto"/>
              <w:ind w:left="0" w:firstLine="0"/>
              <w:jc w:val="right"/>
            </w:pPr>
            <w:r>
              <w:t>12,19%</w:t>
            </w:r>
          </w:p>
        </w:tc>
      </w:tr>
      <w:tr w:rsidR="002642C9">
        <w:trPr>
          <w:trHeight w:val="377"/>
        </w:trPr>
        <w:tc>
          <w:tcPr>
            <w:tcW w:w="2299" w:type="dxa"/>
            <w:tcBorders>
              <w:top w:val="single" w:sz="8" w:space="0" w:color="000000"/>
              <w:left w:val="single" w:sz="12" w:space="0" w:color="000000"/>
              <w:bottom w:val="single" w:sz="8" w:space="0" w:color="000000"/>
              <w:right w:val="single" w:sz="8" w:space="0" w:color="000000"/>
            </w:tcBorders>
            <w:vAlign w:val="bottom"/>
          </w:tcPr>
          <w:p w:rsidR="002642C9" w:rsidRDefault="00484198">
            <w:pPr>
              <w:spacing w:after="0" w:line="259" w:lineRule="auto"/>
              <w:ind w:left="0" w:firstLine="0"/>
            </w:pPr>
            <w:r>
              <w:t>5. tř.</w:t>
            </w:r>
          </w:p>
        </w:tc>
        <w:tc>
          <w:tcPr>
            <w:tcW w:w="2448" w:type="dxa"/>
            <w:tcBorders>
              <w:top w:val="single" w:sz="8" w:space="0" w:color="000000"/>
              <w:left w:val="single" w:sz="8" w:space="0" w:color="000000"/>
              <w:bottom w:val="single" w:sz="8" w:space="0" w:color="000000"/>
              <w:right w:val="single" w:sz="8" w:space="0" w:color="000000"/>
            </w:tcBorders>
            <w:vAlign w:val="bottom"/>
          </w:tcPr>
          <w:p w:rsidR="002642C9" w:rsidRDefault="00484198">
            <w:pPr>
              <w:spacing w:after="0" w:line="259" w:lineRule="auto"/>
              <w:ind w:left="19" w:firstLine="0"/>
              <w:jc w:val="center"/>
            </w:pPr>
            <w:r>
              <w:t>500  -  600</w:t>
            </w:r>
          </w:p>
        </w:tc>
        <w:tc>
          <w:tcPr>
            <w:tcW w:w="1800" w:type="dxa"/>
            <w:tcBorders>
              <w:top w:val="single" w:sz="8" w:space="0" w:color="000000"/>
              <w:left w:val="single" w:sz="8" w:space="0" w:color="000000"/>
              <w:bottom w:val="single" w:sz="8" w:space="0" w:color="000000"/>
              <w:right w:val="single" w:sz="8" w:space="0" w:color="000000"/>
            </w:tcBorders>
            <w:vAlign w:val="bottom"/>
          </w:tcPr>
          <w:p w:rsidR="002642C9" w:rsidRDefault="00484198">
            <w:pPr>
              <w:spacing w:after="0" w:line="259" w:lineRule="auto"/>
              <w:ind w:left="0" w:right="8" w:firstLine="0"/>
              <w:jc w:val="right"/>
            </w:pPr>
            <w:r>
              <w:t>105</w:t>
            </w:r>
          </w:p>
        </w:tc>
        <w:tc>
          <w:tcPr>
            <w:tcW w:w="1241" w:type="dxa"/>
            <w:tcBorders>
              <w:top w:val="single" w:sz="8" w:space="0" w:color="000000"/>
              <w:left w:val="single" w:sz="8" w:space="0" w:color="000000"/>
              <w:bottom w:val="single" w:sz="8" w:space="0" w:color="000000"/>
              <w:right w:val="single" w:sz="12" w:space="0" w:color="000000"/>
            </w:tcBorders>
            <w:vAlign w:val="bottom"/>
          </w:tcPr>
          <w:p w:rsidR="002642C9" w:rsidRDefault="00484198">
            <w:pPr>
              <w:spacing w:after="0" w:line="259" w:lineRule="auto"/>
              <w:ind w:left="0" w:firstLine="0"/>
              <w:jc w:val="right"/>
            </w:pPr>
            <w:r>
              <w:t>18,29%</w:t>
            </w:r>
          </w:p>
        </w:tc>
      </w:tr>
      <w:tr w:rsidR="002642C9">
        <w:trPr>
          <w:trHeight w:val="377"/>
        </w:trPr>
        <w:tc>
          <w:tcPr>
            <w:tcW w:w="2299" w:type="dxa"/>
            <w:tcBorders>
              <w:top w:val="single" w:sz="8" w:space="0" w:color="000000"/>
              <w:left w:val="single" w:sz="12" w:space="0" w:color="000000"/>
              <w:bottom w:val="single" w:sz="8" w:space="0" w:color="000000"/>
              <w:right w:val="single" w:sz="8" w:space="0" w:color="000000"/>
            </w:tcBorders>
            <w:vAlign w:val="bottom"/>
          </w:tcPr>
          <w:p w:rsidR="002642C9" w:rsidRDefault="00484198">
            <w:pPr>
              <w:spacing w:after="0" w:line="259" w:lineRule="auto"/>
              <w:ind w:left="0" w:firstLine="0"/>
            </w:pPr>
            <w:r>
              <w:t>6. tř.</w:t>
            </w:r>
          </w:p>
        </w:tc>
        <w:tc>
          <w:tcPr>
            <w:tcW w:w="2448" w:type="dxa"/>
            <w:tcBorders>
              <w:top w:val="single" w:sz="8" w:space="0" w:color="000000"/>
              <w:left w:val="single" w:sz="8" w:space="0" w:color="000000"/>
              <w:bottom w:val="single" w:sz="8" w:space="0" w:color="000000"/>
              <w:right w:val="single" w:sz="8" w:space="0" w:color="000000"/>
            </w:tcBorders>
            <w:vAlign w:val="bottom"/>
          </w:tcPr>
          <w:p w:rsidR="002642C9" w:rsidRDefault="00484198">
            <w:pPr>
              <w:spacing w:after="0" w:line="259" w:lineRule="auto"/>
              <w:ind w:left="19" w:firstLine="0"/>
              <w:jc w:val="center"/>
            </w:pPr>
            <w:r>
              <w:t>300  -  400</w:t>
            </w:r>
          </w:p>
        </w:tc>
        <w:tc>
          <w:tcPr>
            <w:tcW w:w="1800" w:type="dxa"/>
            <w:tcBorders>
              <w:top w:val="single" w:sz="8" w:space="0" w:color="000000"/>
              <w:left w:val="single" w:sz="8" w:space="0" w:color="000000"/>
              <w:bottom w:val="single" w:sz="8" w:space="0" w:color="000000"/>
              <w:right w:val="single" w:sz="8" w:space="0" w:color="000000"/>
            </w:tcBorders>
            <w:vAlign w:val="bottom"/>
          </w:tcPr>
          <w:p w:rsidR="002642C9" w:rsidRDefault="00484198">
            <w:pPr>
              <w:spacing w:after="0" w:line="259" w:lineRule="auto"/>
              <w:ind w:left="0" w:right="8" w:firstLine="0"/>
              <w:jc w:val="right"/>
            </w:pPr>
            <w:r>
              <w:t>228</w:t>
            </w:r>
          </w:p>
        </w:tc>
        <w:tc>
          <w:tcPr>
            <w:tcW w:w="1241" w:type="dxa"/>
            <w:tcBorders>
              <w:top w:val="single" w:sz="8" w:space="0" w:color="000000"/>
              <w:left w:val="single" w:sz="8" w:space="0" w:color="000000"/>
              <w:bottom w:val="single" w:sz="8" w:space="0" w:color="000000"/>
              <w:right w:val="single" w:sz="12" w:space="0" w:color="000000"/>
            </w:tcBorders>
            <w:vAlign w:val="bottom"/>
          </w:tcPr>
          <w:p w:rsidR="002642C9" w:rsidRDefault="00484198">
            <w:pPr>
              <w:spacing w:after="0" w:line="259" w:lineRule="auto"/>
              <w:ind w:left="0" w:firstLine="0"/>
              <w:jc w:val="right"/>
            </w:pPr>
            <w:r>
              <w:t>39,72%</w:t>
            </w:r>
          </w:p>
        </w:tc>
      </w:tr>
      <w:tr w:rsidR="002642C9">
        <w:trPr>
          <w:trHeight w:val="373"/>
        </w:trPr>
        <w:tc>
          <w:tcPr>
            <w:tcW w:w="2299" w:type="dxa"/>
            <w:tcBorders>
              <w:top w:val="single" w:sz="8" w:space="0" w:color="000000"/>
              <w:left w:val="single" w:sz="12" w:space="0" w:color="000000"/>
              <w:bottom w:val="single" w:sz="12" w:space="0" w:color="000000"/>
              <w:right w:val="single" w:sz="8" w:space="0" w:color="000000"/>
            </w:tcBorders>
          </w:tcPr>
          <w:p w:rsidR="002642C9" w:rsidRDefault="00484198">
            <w:pPr>
              <w:spacing w:after="0" w:line="259" w:lineRule="auto"/>
              <w:ind w:left="0" w:firstLine="0"/>
            </w:pPr>
            <w:r>
              <w:t>lokální kaplanství</w:t>
            </w:r>
          </w:p>
        </w:tc>
        <w:tc>
          <w:tcPr>
            <w:tcW w:w="2448" w:type="dxa"/>
            <w:tcBorders>
              <w:top w:val="single" w:sz="8" w:space="0" w:color="000000"/>
              <w:left w:val="single" w:sz="8" w:space="0" w:color="000000"/>
              <w:bottom w:val="single" w:sz="12" w:space="0" w:color="000000"/>
              <w:right w:val="single" w:sz="8" w:space="0" w:color="000000"/>
            </w:tcBorders>
          </w:tcPr>
          <w:p w:rsidR="002642C9" w:rsidRDefault="00484198">
            <w:pPr>
              <w:spacing w:after="0" w:line="259" w:lineRule="auto"/>
              <w:ind w:left="19" w:firstLine="0"/>
              <w:jc w:val="center"/>
            </w:pPr>
            <w:r>
              <w:t>150  -  180</w:t>
            </w:r>
          </w:p>
        </w:tc>
        <w:tc>
          <w:tcPr>
            <w:tcW w:w="1800" w:type="dxa"/>
            <w:tcBorders>
              <w:top w:val="single" w:sz="8" w:space="0" w:color="000000"/>
              <w:left w:val="single" w:sz="8" w:space="0" w:color="000000"/>
              <w:bottom w:val="single" w:sz="12" w:space="0" w:color="000000"/>
              <w:right w:val="single" w:sz="8" w:space="0" w:color="000000"/>
            </w:tcBorders>
          </w:tcPr>
          <w:p w:rsidR="002642C9" w:rsidRDefault="00484198">
            <w:pPr>
              <w:spacing w:after="0" w:line="259" w:lineRule="auto"/>
              <w:ind w:left="0" w:right="6" w:firstLine="0"/>
              <w:jc w:val="right"/>
            </w:pPr>
            <w:r>
              <w:t>94</w:t>
            </w:r>
          </w:p>
        </w:tc>
        <w:tc>
          <w:tcPr>
            <w:tcW w:w="1241" w:type="dxa"/>
            <w:tcBorders>
              <w:top w:val="single" w:sz="8" w:space="0" w:color="000000"/>
              <w:left w:val="single" w:sz="8" w:space="0" w:color="000000"/>
              <w:bottom w:val="single" w:sz="12" w:space="0" w:color="000000"/>
              <w:right w:val="single" w:sz="12" w:space="0" w:color="000000"/>
            </w:tcBorders>
          </w:tcPr>
          <w:p w:rsidR="002642C9" w:rsidRDefault="00484198">
            <w:pPr>
              <w:spacing w:after="0" w:line="259" w:lineRule="auto"/>
              <w:ind w:left="0" w:firstLine="0"/>
              <w:jc w:val="right"/>
            </w:pPr>
            <w:r>
              <w:t>16,37%</w:t>
            </w:r>
          </w:p>
        </w:tc>
      </w:tr>
    </w:tbl>
    <w:p w:rsidR="00783224" w:rsidRDefault="00783224">
      <w:pPr>
        <w:ind w:left="-5" w:right="3"/>
      </w:pPr>
    </w:p>
    <w:p w:rsidR="002642C9" w:rsidRDefault="00484198">
      <w:pPr>
        <w:ind w:left="-5" w:right="3"/>
      </w:pPr>
      <w:r>
        <w:t>Duchovní zabezpečující duchovní správu ve farnostech 6. třídy a v lokálních kaplanstvích tvořili celkem 56,0</w:t>
      </w:r>
      <w:r w:rsidR="00783224">
        <w:t>9 % všech moravských duchovních</w:t>
      </w:r>
      <w:r>
        <w:t>. Jejich příjmy jim dostačovaly jen na velmi nuzný život. I to patřilo k důvodům, proč duchovní stav na Moravě nepřitahoval tolik mladých mužů z měšťanských rodin, jak jsme svědky ze západní Evropy, kde dávali přednost duchovenskému stavu před obchodem a řemesly. Fary s největšími příjmy obsazovali šlechtici.</w:t>
      </w:r>
    </w:p>
    <w:p w:rsidR="002642C9" w:rsidRDefault="00484198">
      <w:pPr>
        <w:ind w:left="-5" w:right="3"/>
      </w:pPr>
      <w:r>
        <w:t>Nové impulsy ke studiu přináší zrušení nevolnictví, které umožňuje svobodnější pohyb za vzděláním i synů z okruhu poddaných. Hlavně ale povolení císaře Františka I. ke zřizování diecézních seminářů počátkem 19. století.</w:t>
      </w:r>
    </w:p>
    <w:p w:rsidR="002642C9" w:rsidRDefault="00484198">
      <w:pPr>
        <w:spacing w:after="283"/>
        <w:ind w:left="-5" w:right="3"/>
      </w:pPr>
      <w:r>
        <w:t xml:space="preserve">Pozitivem se stává i zavedení pastorální teologii na university, v Praze se začala přednášet </w:t>
      </w:r>
      <w:r w:rsidRPr="00783224">
        <w:rPr>
          <w:color w:val="00B050"/>
        </w:rPr>
        <w:t>1778</w:t>
      </w:r>
      <w:r>
        <w:t>.</w:t>
      </w:r>
      <w:r>
        <w:rPr>
          <w:vertAlign w:val="superscript"/>
        </w:rPr>
        <w:footnoteReference w:id="17"/>
      </w:r>
      <w:r>
        <w:t xml:space="preserve"> První učebnici pastorálky vydal </w:t>
      </w:r>
      <w:r w:rsidRPr="00783224">
        <w:rPr>
          <w:color w:val="00B050"/>
        </w:rPr>
        <w:t>1780</w:t>
      </w:r>
      <w:r>
        <w:t xml:space="preserve"> strahovský premonstrát </w:t>
      </w:r>
      <w:r w:rsidRPr="00783224">
        <w:rPr>
          <w:color w:val="FF0000"/>
        </w:rPr>
        <w:t xml:space="preserve">Jiljí Bartoloměj Chládek </w:t>
      </w:r>
      <w:r>
        <w:t>a v Olomouci pastorálku přednášel podle Chládkovy učebnice Dr. Albert Slavíček, augustinián ze Šternberka.</w:t>
      </w:r>
    </w:p>
    <w:p w:rsidR="002642C9" w:rsidRDefault="00484198">
      <w:pPr>
        <w:ind w:left="-5" w:right="3"/>
      </w:pPr>
      <w:r>
        <w:t>Rok 1777 byl pro naši diecézi významným impulsem k novému růstu duchovního života a duchovní správy. Marie Terezie i Josef II. byli iniciátory důležitých změn a mocnými hybateli, kteří zasahovali do církevního života v řadě případů bolestivě, ale ve snaze napomoci rozvoji jak státu, tak i církevního života. Nelekali se obtíží a odvážili se na novou cestu. Je třeba abychom se i my odvážili.</w:t>
      </w:r>
    </w:p>
    <w:p w:rsidR="005A7911" w:rsidRDefault="005A7911">
      <w:pPr>
        <w:ind w:left="-5" w:right="3"/>
      </w:pPr>
    </w:p>
    <w:p w:rsidR="002642C9" w:rsidRDefault="00484198">
      <w:pPr>
        <w:pStyle w:val="Nadpis2"/>
        <w:ind w:left="718"/>
      </w:pPr>
      <w:r>
        <w:t>4. Závěrem</w:t>
      </w:r>
    </w:p>
    <w:p w:rsidR="002642C9" w:rsidRDefault="00484198">
      <w:pPr>
        <w:ind w:left="-5" w:right="3"/>
      </w:pPr>
      <w:r>
        <w:t>Z výše uvedené tabulky vyplývá, že jsme na tom podobně jako před rokem 1777. Počet katolíků připadajících na 1 kněze je v olomoucké diecézi téměř totožný jako v roce 1710 před vznikem řady nových farností. V Brněnské diecézi je stav o něco lepší. Pokud ale vezmeme v úvahu přepočet obyvatel na 1 kněze, stává se údaj téměř děsivým a pro kněze vysloveně „strašícím a demotivujícím“.</w:t>
      </w:r>
    </w:p>
    <w:p w:rsidR="002642C9" w:rsidRDefault="00484198">
      <w:pPr>
        <w:ind w:left="-5" w:right="3"/>
      </w:pPr>
      <w:r>
        <w:t xml:space="preserve">A tak si troufám říci, že dnešní doba je velmi podobná tehdejší. Stojíme na jistém předělu epoch, kdy každý z nás vlastně spolurozhodujeme, zda bude nejen Evropa, ale hlavně naše </w:t>
      </w:r>
      <w:r>
        <w:lastRenderedPageBreak/>
        <w:t xml:space="preserve">země křesťanská. Stojíme tak před velkými výzvami a záleží na nás, zda a nakolik obstojíme. Nakolik pochopíme a dokážeme uskutečnit, že budoucnost záleží i na naší schopnosti vzájemné soudržnosti, lásky a spolupráce. </w:t>
      </w:r>
    </w:p>
    <w:p w:rsidR="002642C9" w:rsidRDefault="00484198">
      <w:pPr>
        <w:ind w:left="-5" w:right="3"/>
      </w:pPr>
      <w:r>
        <w:t>Struktura farní sítě je dána již od dob císaře a českého krále Josefa II. Naším současným společným úkolem je posílení kněžského stavu. Snad i v současné době připravované a očekávané narovnání mezi naším státem a církví umožní našim diecézím rozvinout život naší církve i zvýšit počet kněží jak pro naše školy, tak i pro naše oslabené farnosti.</w:t>
      </w:r>
    </w:p>
    <w:p w:rsidR="002642C9" w:rsidRDefault="00484198">
      <w:pPr>
        <w:spacing w:after="294"/>
        <w:ind w:left="-5" w:right="3"/>
      </w:pPr>
      <w:r>
        <w:t xml:space="preserve">Nechť je nám i naše konference, ke které nás náš pan biskup Vojtěch pozval, důležitým impulsem k dalšímu vykročení k velkému cíli. Na společnou cestu se s Vámi chci podělit o velmi dobrý recept, který jsem nedávno četla a dovolím si Vám tato slova odcitovat: „Je třeba přijmout a prožít své povolání na plný úvazek. Co to předpokládá? Především život z modlitby, zřeknutí se sebe, být k dispozici druhým a zůstat věrný Kristu žijícímu ve své církvi.“ </w:t>
      </w:r>
      <w:r>
        <w:rPr>
          <w:vertAlign w:val="superscript"/>
        </w:rPr>
        <w:footnoteReference w:id="18"/>
      </w:r>
      <w:r>
        <w:t>Tento návod platí stejně tak pro nás laiky, řeholníky i kněze.</w:t>
      </w:r>
    </w:p>
    <w:p w:rsidR="002642C9" w:rsidRDefault="00484198">
      <w:pPr>
        <w:ind w:left="-5" w:right="3"/>
      </w:pPr>
      <w:r>
        <w:t>Brněnská diecéze 1777-2007: historie a současnost. Sborník příspěvků ze sympozia na Biskupském gymnáziu v Brně 10. 11. 2007, str. 15-24.</w:t>
      </w:r>
    </w:p>
    <w:sectPr w:rsidR="002642C9">
      <w:pgSz w:w="11905" w:h="16838"/>
      <w:pgMar w:top="1468" w:right="1416" w:bottom="142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378" w:rsidRDefault="00D75378">
      <w:pPr>
        <w:spacing w:after="0" w:line="240" w:lineRule="auto"/>
      </w:pPr>
      <w:r>
        <w:separator/>
      </w:r>
    </w:p>
  </w:endnote>
  <w:endnote w:type="continuationSeparator" w:id="0">
    <w:p w:rsidR="00D75378" w:rsidRDefault="00D7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378" w:rsidRDefault="00D75378">
      <w:pPr>
        <w:spacing w:after="25" w:line="259" w:lineRule="auto"/>
        <w:ind w:left="0" w:firstLine="0"/>
      </w:pPr>
      <w:r>
        <w:separator/>
      </w:r>
    </w:p>
  </w:footnote>
  <w:footnote w:type="continuationSeparator" w:id="0">
    <w:p w:rsidR="00D75378" w:rsidRDefault="00D75378">
      <w:pPr>
        <w:spacing w:after="25" w:line="259" w:lineRule="auto"/>
        <w:ind w:left="0" w:firstLine="0"/>
      </w:pPr>
      <w:r>
        <w:continuationSeparator/>
      </w:r>
    </w:p>
  </w:footnote>
  <w:footnote w:id="1">
    <w:p w:rsidR="002642C9" w:rsidRDefault="00484198">
      <w:pPr>
        <w:pStyle w:val="footnotedescription"/>
        <w:spacing w:after="25"/>
      </w:pPr>
      <w:r>
        <w:rPr>
          <w:rStyle w:val="footnotemark"/>
        </w:rPr>
        <w:footnoteRef/>
      </w:r>
      <w:r>
        <w:t xml:space="preserve">  Zuber, Rudolf: </w:t>
      </w:r>
      <w:r>
        <w:rPr>
          <w:i/>
        </w:rPr>
        <w:t>Osudy moravské církve I.</w:t>
      </w:r>
      <w:r>
        <w:t xml:space="preserve"> Praha 1987, s.</w:t>
      </w:r>
    </w:p>
  </w:footnote>
  <w:footnote w:id="2">
    <w:p w:rsidR="002642C9" w:rsidRDefault="00484198">
      <w:pPr>
        <w:pStyle w:val="footnotedescription"/>
        <w:spacing w:after="0" w:line="276" w:lineRule="auto"/>
        <w:ind w:right="674"/>
      </w:pPr>
      <w:r>
        <w:rPr>
          <w:rStyle w:val="footnotemark"/>
        </w:rPr>
        <w:footnoteRef/>
      </w:r>
      <w:r>
        <w:t xml:space="preserve">  V Mikulovském děkanství bylo 13 far a 3 lokální kaplanství, tyto pečovaly o celkem 30 vesnic. </w:t>
      </w:r>
      <w:r>
        <w:rPr>
          <w:vertAlign w:val="superscript"/>
        </w:rPr>
        <w:t>3</w:t>
      </w:r>
      <w:r>
        <w:t xml:space="preserve">  Farnost Třebíč spravovala vedle města ještě 27 vesnic; Nové Město na Moravě 27 vesnic; Bystřice nad Pernštejnem, stejně jako Letovice spravovaly po 39 vesnicích.</w:t>
      </w:r>
    </w:p>
  </w:footnote>
  <w:footnote w:id="3">
    <w:p w:rsidR="002642C9" w:rsidRDefault="00484198">
      <w:pPr>
        <w:pStyle w:val="footnotedescription"/>
        <w:spacing w:after="42"/>
      </w:pPr>
      <w:r>
        <w:rPr>
          <w:rStyle w:val="footnotemark"/>
        </w:rPr>
        <w:footnoteRef/>
      </w:r>
      <w:r>
        <w:t xml:space="preserve">  Na jednu faru připadly v průměru 3,4 vesnice.</w:t>
      </w:r>
    </w:p>
  </w:footnote>
  <w:footnote w:id="4">
    <w:p w:rsidR="002642C9" w:rsidRDefault="00484198">
      <w:pPr>
        <w:pStyle w:val="footnotedescription"/>
        <w:spacing w:after="0" w:line="258" w:lineRule="auto"/>
      </w:pPr>
      <w:r>
        <w:rPr>
          <w:rStyle w:val="footnotemark"/>
        </w:rPr>
        <w:footnoteRef/>
      </w:r>
      <w:r>
        <w:t xml:space="preserve">  V Belgii měla každá ves svoji faru, v Kolínské diecézi připadaly na 1 faru 2-3 vesnice, v krakovské diecézi připadalo na jednu faru cca 1300 duší.</w:t>
      </w:r>
    </w:p>
  </w:footnote>
  <w:footnote w:id="5">
    <w:p w:rsidR="002642C9" w:rsidRDefault="00484198">
      <w:pPr>
        <w:pStyle w:val="footnotedescription"/>
        <w:spacing w:after="0"/>
      </w:pPr>
      <w:r>
        <w:rPr>
          <w:rStyle w:val="footnotemark"/>
        </w:rPr>
        <w:footnoteRef/>
      </w:r>
      <w:r>
        <w:t xml:space="preserve">  Fara mikulovského děkanátu pečuje o 1207 duší, fara děkanátu Valašské Meziříčí o 3188 duší.</w:t>
      </w:r>
    </w:p>
  </w:footnote>
  <w:footnote w:id="6">
    <w:p w:rsidR="002642C9" w:rsidRDefault="00484198">
      <w:pPr>
        <w:pStyle w:val="footnotedescription"/>
        <w:spacing w:after="36"/>
      </w:pPr>
      <w:r>
        <w:rPr>
          <w:rStyle w:val="footnotemark"/>
        </w:rPr>
        <w:footnoteRef/>
      </w:r>
      <w:r>
        <w:t xml:space="preserve">  Hurt, Rudolf: </w:t>
      </w:r>
      <w:r>
        <w:rPr>
          <w:i/>
        </w:rPr>
        <w:t>Dějiny brněnské diecéze 1777-1945</w:t>
      </w:r>
      <w:r>
        <w:t>. Brno 1977, strojopis.</w:t>
      </w:r>
    </w:p>
  </w:footnote>
  <w:footnote w:id="7">
    <w:p w:rsidR="002642C9" w:rsidRDefault="00484198">
      <w:pPr>
        <w:pStyle w:val="footnotedescription"/>
        <w:spacing w:after="0" w:line="263" w:lineRule="auto"/>
      </w:pPr>
      <w:r>
        <w:rPr>
          <w:rStyle w:val="footnotemark"/>
        </w:rPr>
        <w:footnoteRef/>
      </w:r>
      <w:r>
        <w:t xml:space="preserve">  Z těchto 36 děkanství je 15 v brněnském arcijáhenství a ve znojemském arcijáhenství je to 21 děkanátů z nichž je 10 v kraji Znojemském a 11 v kraji Jihlavském. K Zamýšlenému rozdělení arcijáhenství podle krajů na 3 (brněnské, znojemské a jihlavské) nedošlo. Později byla Arcijáhenství přeměněna na arcikněžství.</w:t>
      </w:r>
    </w:p>
  </w:footnote>
  <w:footnote w:id="8">
    <w:p w:rsidR="002642C9" w:rsidRDefault="00484198">
      <w:pPr>
        <w:pStyle w:val="footnotedescription"/>
        <w:spacing w:after="47"/>
      </w:pPr>
      <w:r>
        <w:rPr>
          <w:rStyle w:val="footnotemark"/>
        </w:rPr>
        <w:footnoteRef/>
      </w:r>
      <w:r>
        <w:t xml:space="preserve">  Prameny hovoří o 50 000, Josef II. sám ve svých dopisech do Brusellu uvádí 100.000.</w:t>
      </w:r>
    </w:p>
  </w:footnote>
  <w:footnote w:id="9">
    <w:p w:rsidR="002642C9" w:rsidRDefault="00484198">
      <w:pPr>
        <w:pStyle w:val="footnotedescription"/>
        <w:spacing w:after="0" w:line="255" w:lineRule="auto"/>
      </w:pPr>
      <w:r>
        <w:rPr>
          <w:rStyle w:val="footnotemark"/>
        </w:rPr>
        <w:footnoteRef/>
      </w:r>
      <w:r>
        <w:t xml:space="preserve">  Josef II. si do svých poznámek zaznamenává svoje „meditování“. „Bez dlouhého hloubání v Písmu svatém, které potřebuje mnoho výkladů a vysvětlivek, říká mi můj vnitřní hlas, co mám jako zákonodárce a ochránce náboženství dělat nebo nedělat, a při mé spravedlivé povaze nemůže mě tento hlas přivést do bludu“.</w:t>
      </w:r>
    </w:p>
  </w:footnote>
  <w:footnote w:id="10">
    <w:p w:rsidR="002642C9" w:rsidRDefault="00484198">
      <w:pPr>
        <w:pStyle w:val="footnotedescription"/>
        <w:spacing w:after="25"/>
      </w:pPr>
      <w:r>
        <w:rPr>
          <w:rStyle w:val="footnotemark"/>
        </w:rPr>
        <w:footnoteRef/>
      </w:r>
      <w:r>
        <w:t xml:space="preserve">  Dvořák, Rudolf: </w:t>
      </w:r>
      <w:r>
        <w:rPr>
          <w:i/>
        </w:rPr>
        <w:t>Dějiny markrabství moravského II.</w:t>
      </w:r>
      <w:r>
        <w:t xml:space="preserve"> Levné knihy, Praha 2000, s. 360.</w:t>
      </w:r>
    </w:p>
  </w:footnote>
  <w:footnote w:id="11">
    <w:p w:rsidR="002642C9" w:rsidRDefault="00484198">
      <w:pPr>
        <w:pStyle w:val="footnotedescription"/>
        <w:spacing w:after="35"/>
      </w:pPr>
      <w:r>
        <w:rPr>
          <w:rStyle w:val="footnotemark"/>
        </w:rPr>
        <w:footnoteRef/>
      </w:r>
      <w:r>
        <w:t xml:space="preserve">  Kadlec, Jaroslav: </w:t>
      </w:r>
      <w:r>
        <w:rPr>
          <w:i/>
        </w:rPr>
        <w:t>Přehled českých církevních dějin</w:t>
      </w:r>
      <w:r>
        <w:t>. Zvon, Praha 1991, s. 164.</w:t>
      </w:r>
    </w:p>
  </w:footnote>
  <w:footnote w:id="12">
    <w:p w:rsidR="002642C9" w:rsidRDefault="00484198">
      <w:pPr>
        <w:pStyle w:val="footnotedescription"/>
        <w:spacing w:after="21"/>
      </w:pPr>
      <w:r>
        <w:rPr>
          <w:rStyle w:val="footnotemark"/>
        </w:rPr>
        <w:footnoteRef/>
      </w:r>
      <w:r>
        <w:t xml:space="preserve"> Zuber, Rudolf: </w:t>
      </w:r>
      <w:r>
        <w:rPr>
          <w:i/>
        </w:rPr>
        <w:t>Osudy moravské církve v 18. století I</w:t>
      </w:r>
      <w:r>
        <w:t>. Praha 1987, s. 188.</w:t>
      </w:r>
    </w:p>
  </w:footnote>
  <w:footnote w:id="13">
    <w:p w:rsidR="002642C9" w:rsidRDefault="00484198">
      <w:pPr>
        <w:pStyle w:val="footnotedescription"/>
        <w:spacing w:after="0" w:line="255" w:lineRule="auto"/>
      </w:pPr>
      <w:r>
        <w:rPr>
          <w:rStyle w:val="footnotemark"/>
        </w:rPr>
        <w:footnoteRef/>
      </w:r>
      <w:r>
        <w:t xml:space="preserve">  Ze stávajících 34 farností děkanátu Prostějov vzniklo v rámci josefínské reformy 13 farností (38,24%). Outrata, Bohumil: </w:t>
      </w:r>
      <w:r>
        <w:rPr>
          <w:i/>
        </w:rPr>
        <w:t>Drobné sakrální stavby na Moravě. Kaple a kapličky na Prostějovsku.</w:t>
      </w:r>
      <w:r>
        <w:t xml:space="preserve"> MSKA, OlomoucProstějov 2007, s. 80-111.</w:t>
      </w:r>
    </w:p>
  </w:footnote>
  <w:footnote w:id="14">
    <w:p w:rsidR="002642C9" w:rsidRDefault="00484198">
      <w:pPr>
        <w:pStyle w:val="footnotedescription"/>
        <w:spacing w:after="0" w:line="314" w:lineRule="auto"/>
      </w:pPr>
      <w:r>
        <w:rPr>
          <w:rStyle w:val="footnotemark"/>
        </w:rPr>
        <w:footnoteRef/>
      </w:r>
      <w:r>
        <w:t xml:space="preserve">  Olomoucký generální seminář vzniká 1783 ve zrušeném Klášteře Hradisko u Olomouce, trvá do roku 1790, jedním z ředitelů je Josef Dobrovský.</w:t>
      </w:r>
    </w:p>
  </w:footnote>
  <w:footnote w:id="15">
    <w:p w:rsidR="002642C9" w:rsidRDefault="00484198">
      <w:pPr>
        <w:pStyle w:val="footnotedescription"/>
        <w:spacing w:after="11"/>
      </w:pPr>
      <w:r>
        <w:rPr>
          <w:rStyle w:val="footnotemark"/>
        </w:rPr>
        <w:footnoteRef/>
      </w:r>
      <w:r>
        <w:t xml:space="preserve">  V Brně je kněžský dům zřízen hned v roce 1784 v domě kláštera louckého na návrší Petrov, pak je přenesen do domu kláštera hradišťského.</w:t>
      </w:r>
    </w:p>
  </w:footnote>
  <w:footnote w:id="16">
    <w:p w:rsidR="002642C9" w:rsidRDefault="00484198">
      <w:pPr>
        <w:pStyle w:val="footnotedescription"/>
        <w:spacing w:after="21"/>
      </w:pPr>
      <w:r>
        <w:rPr>
          <w:rStyle w:val="footnotemark"/>
        </w:rPr>
        <w:footnoteRef/>
      </w:r>
      <w:r>
        <w:t xml:space="preserve">  Zuber, Rudolf: </w:t>
      </w:r>
      <w:r>
        <w:rPr>
          <w:i/>
        </w:rPr>
        <w:t>Osudy moravské církve v 18. století I</w:t>
      </w:r>
      <w:r>
        <w:t>. Praha 1987, s. 193.</w:t>
      </w:r>
    </w:p>
  </w:footnote>
  <w:footnote w:id="17">
    <w:p w:rsidR="002642C9" w:rsidRDefault="00484198">
      <w:pPr>
        <w:pStyle w:val="footnotedescription"/>
        <w:spacing w:after="0"/>
      </w:pPr>
      <w:r>
        <w:rPr>
          <w:rStyle w:val="footnotemark"/>
        </w:rPr>
        <w:footnoteRef/>
      </w:r>
      <w:r>
        <w:t xml:space="preserve">  Medek, Václav: </w:t>
      </w:r>
      <w:r>
        <w:rPr>
          <w:i/>
        </w:rPr>
        <w:t>Cesta české a moravské církve staletími</w:t>
      </w:r>
      <w:r>
        <w:t>. Praha 1982, s. 262.</w:t>
      </w:r>
    </w:p>
  </w:footnote>
  <w:footnote w:id="18">
    <w:p w:rsidR="002642C9" w:rsidRDefault="00484198">
      <w:pPr>
        <w:pStyle w:val="footnotedescription"/>
        <w:spacing w:after="0"/>
      </w:pPr>
      <w:r>
        <w:rPr>
          <w:rStyle w:val="footnotemark"/>
        </w:rPr>
        <w:footnoteRef/>
      </w:r>
      <w:r>
        <w:t xml:space="preserve"> </w:t>
      </w:r>
      <w:r>
        <w:rPr>
          <w:i/>
        </w:rPr>
        <w:t>Acta curiae episcopalis Brunensis</w:t>
      </w:r>
      <w:r>
        <w:t xml:space="preserve"> 9/2007, s. 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5201F"/>
    <w:multiLevelType w:val="hybridMultilevel"/>
    <w:tmpl w:val="03042C2A"/>
    <w:lvl w:ilvl="0" w:tplc="B046F7D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65542">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C2FAA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2D65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C07838">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D07F0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EF0D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06372">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D881D6">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9"/>
    <w:rsid w:val="002642C9"/>
    <w:rsid w:val="00484198"/>
    <w:rsid w:val="005A7911"/>
    <w:rsid w:val="00783224"/>
    <w:rsid w:val="007A1A4A"/>
    <w:rsid w:val="00D36171"/>
    <w:rsid w:val="00D753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4E58"/>
  <w15:docId w15:val="{0991B14A-1FA8-4ED4-98A2-FDBA266F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58" w:lineRule="auto"/>
      <w:ind w:left="10" w:hanging="10"/>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3"/>
      <w:ind w:left="10" w:hanging="10"/>
      <w:outlineLvl w:val="0"/>
    </w:pPr>
    <w:rPr>
      <w:rFonts w:ascii="Times New Roman" w:eastAsia="Times New Roman" w:hAnsi="Times New Roman" w:cs="Times New Roman"/>
      <w:b/>
      <w:i/>
      <w:color w:val="000000"/>
      <w:sz w:val="24"/>
    </w:rPr>
  </w:style>
  <w:style w:type="paragraph" w:styleId="Nadpis2">
    <w:name w:val="heading 2"/>
    <w:next w:val="Normln"/>
    <w:link w:val="Nadpis2Char"/>
    <w:uiPriority w:val="9"/>
    <w:unhideWhenUsed/>
    <w:qFormat/>
    <w:pPr>
      <w:keepNext/>
      <w:keepLines/>
      <w:spacing w:after="3"/>
      <w:ind w:left="10" w:hanging="10"/>
      <w:outlineLvl w:val="1"/>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i/>
      <w:color w:val="000000"/>
      <w:sz w:val="24"/>
    </w:rPr>
  </w:style>
  <w:style w:type="paragraph" w:customStyle="1" w:styleId="footnotedescription">
    <w:name w:val="footnote description"/>
    <w:next w:val="Normln"/>
    <w:link w:val="footnotedescriptionChar"/>
    <w:hidden/>
    <w:pPr>
      <w:spacing w:after="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Nadpis2Char">
    <w:name w:val="Nadpis 2 Char"/>
    <w:link w:val="Nadpis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7A1A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1A4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2502</Words>
  <Characters>14765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1777-tisk.doc</vt:lpstr>
    </vt:vector>
  </TitlesOfParts>
  <Company>Masarykova univerzita</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1777-tisk.doc</dc:title>
  <dc:subject/>
  <dc:creator>Jiřina Štouračová</dc:creator>
  <cp:keywords/>
  <cp:lastModifiedBy>Jiřina Štouračová</cp:lastModifiedBy>
  <cp:revision>4</cp:revision>
  <cp:lastPrinted>2020-04-22T15:03:00Z</cp:lastPrinted>
  <dcterms:created xsi:type="dcterms:W3CDTF">2020-04-22T14:33:00Z</dcterms:created>
  <dcterms:modified xsi:type="dcterms:W3CDTF">2020-04-22T15:03:00Z</dcterms:modified>
</cp:coreProperties>
</file>