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C0AF2" w14:textId="3C0A6CE3" w:rsidR="005D33CE" w:rsidRDefault="005D33CE" w:rsidP="005D33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Zlatá bula sicilská pro střední školy</w:t>
      </w:r>
    </w:p>
    <w:p w14:paraId="127EAD01" w14:textId="7947DC5F" w:rsidR="00BF7669" w:rsidRPr="005D33CE" w:rsidRDefault="00AA1325" w:rsidP="005D33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3CE">
        <w:rPr>
          <w:rFonts w:ascii="Times New Roman" w:hAnsi="Times New Roman" w:cs="Times New Roman"/>
          <w:sz w:val="24"/>
          <w:szCs w:val="24"/>
        </w:rPr>
        <w:t xml:space="preserve">Zlatá bula sicilská, kterou tvoří tři listiny vydané Fridrichem II. v Basileji 26. září 1212. </w:t>
      </w:r>
      <w:r w:rsidR="00F20013">
        <w:rPr>
          <w:rFonts w:ascii="Times New Roman" w:hAnsi="Times New Roman" w:cs="Times New Roman"/>
          <w:sz w:val="24"/>
          <w:szCs w:val="24"/>
        </w:rPr>
        <w:t>Ty</w:t>
      </w:r>
      <w:r w:rsidRPr="005D33CE">
        <w:rPr>
          <w:rFonts w:ascii="Times New Roman" w:hAnsi="Times New Roman" w:cs="Times New Roman"/>
          <w:sz w:val="24"/>
          <w:szCs w:val="24"/>
        </w:rPr>
        <w:t xml:space="preserve"> byly vydány pro Přemysla Otakara II. a jeho bratra Vladislava Jindřicha jako prostředek k prohloubení spojenectví, </w:t>
      </w:r>
      <w:r w:rsidR="001D307B" w:rsidRPr="005D33CE">
        <w:rPr>
          <w:rFonts w:ascii="Times New Roman" w:hAnsi="Times New Roman" w:cs="Times New Roman"/>
          <w:sz w:val="24"/>
          <w:szCs w:val="24"/>
        </w:rPr>
        <w:t>ve kterém</w:t>
      </w:r>
      <w:r w:rsidRPr="005D33CE">
        <w:rPr>
          <w:rFonts w:ascii="Times New Roman" w:hAnsi="Times New Roman" w:cs="Times New Roman"/>
          <w:sz w:val="24"/>
          <w:szCs w:val="24"/>
        </w:rPr>
        <w:t xml:space="preserve"> se Přemysl postavil na Fridrichovu stranu </w:t>
      </w:r>
      <w:r w:rsidR="00F20013">
        <w:rPr>
          <w:rFonts w:ascii="Times New Roman" w:hAnsi="Times New Roman" w:cs="Times New Roman"/>
          <w:sz w:val="24"/>
          <w:szCs w:val="24"/>
        </w:rPr>
        <w:t>v</w:t>
      </w:r>
      <w:r w:rsidRPr="005D33CE">
        <w:rPr>
          <w:rFonts w:ascii="Times New Roman" w:hAnsi="Times New Roman" w:cs="Times New Roman"/>
          <w:sz w:val="24"/>
          <w:szCs w:val="24"/>
        </w:rPr>
        <w:t xml:space="preserve"> boji o císařský trůn.</w:t>
      </w:r>
    </w:p>
    <w:p w14:paraId="306788DE" w14:textId="0D6496C4" w:rsidR="00AA1325" w:rsidRPr="005D33CE" w:rsidRDefault="001D307B" w:rsidP="005D33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3CE">
        <w:rPr>
          <w:rFonts w:ascii="Times New Roman" w:hAnsi="Times New Roman" w:cs="Times New Roman"/>
          <w:sz w:val="24"/>
          <w:szCs w:val="24"/>
        </w:rPr>
        <w:t xml:space="preserve">Listiny potvrzovaly privilegia daná Přemyslovi již v roce 1198 Filipem Švábským. Postupně tedy první listina potvrzovala Přemyslovi královský titul, zaručovala hranice království, uvádět biskupy do úřadu a povinnosti účasti na říšských sjezdech. Ve druhé listině bylo zaručeno postavení Vladislava Jindřicha jako moravského markraběte. Dále </w:t>
      </w:r>
      <w:r w:rsidR="008E5573" w:rsidRPr="005D33CE">
        <w:rPr>
          <w:rFonts w:ascii="Times New Roman" w:hAnsi="Times New Roman" w:cs="Times New Roman"/>
          <w:sz w:val="24"/>
          <w:szCs w:val="24"/>
        </w:rPr>
        <w:t>mu bylo uděleno „</w:t>
      </w:r>
      <w:proofErr w:type="spellStart"/>
      <w:r w:rsidR="008E5573" w:rsidRPr="005D33CE">
        <w:rPr>
          <w:rFonts w:ascii="Times New Roman" w:hAnsi="Times New Roman" w:cs="Times New Roman"/>
          <w:sz w:val="24"/>
          <w:szCs w:val="24"/>
        </w:rPr>
        <w:t>Mocran</w:t>
      </w:r>
      <w:proofErr w:type="spellEnd"/>
      <w:r w:rsidR="008E5573" w:rsidRPr="005D33C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8E5573" w:rsidRPr="005D33CE">
        <w:rPr>
          <w:rFonts w:ascii="Times New Roman" w:hAnsi="Times New Roman" w:cs="Times New Roman"/>
          <w:sz w:val="24"/>
          <w:szCs w:val="24"/>
        </w:rPr>
        <w:t>Mocran</w:t>
      </w:r>
      <w:proofErr w:type="spellEnd"/>
      <w:r w:rsidR="008E5573" w:rsidRPr="005D33CE">
        <w:rPr>
          <w:rFonts w:ascii="Times New Roman" w:hAnsi="Times New Roman" w:cs="Times New Roman"/>
          <w:sz w:val="24"/>
          <w:szCs w:val="24"/>
        </w:rPr>
        <w:t xml:space="preserve">“, o které se dodnes vedou spory. Třetí listina pak Přemyslovi udělovala různá léna v Říši. </w:t>
      </w:r>
    </w:p>
    <w:p w14:paraId="05812466" w14:textId="69768A1B" w:rsidR="00AA1325" w:rsidRPr="005D33CE" w:rsidRDefault="00AA1325" w:rsidP="005D33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3CE">
        <w:rPr>
          <w:rFonts w:ascii="Times New Roman" w:hAnsi="Times New Roman" w:cs="Times New Roman"/>
          <w:sz w:val="24"/>
          <w:szCs w:val="24"/>
        </w:rPr>
        <w:t xml:space="preserve">Právní platnost těchto listin je sporná, jelikož k nim byla přivěšena zlatá bula Sicilského království, neboť v době vydání ještě Fridrich nebyl císařem Římské říše. </w:t>
      </w:r>
      <w:r w:rsidR="005D33CE">
        <w:rPr>
          <w:rFonts w:ascii="Times New Roman" w:hAnsi="Times New Roman" w:cs="Times New Roman"/>
          <w:sz w:val="24"/>
          <w:szCs w:val="24"/>
        </w:rPr>
        <w:t>Dnes je</w:t>
      </w:r>
      <w:r w:rsidRPr="005D33CE">
        <w:rPr>
          <w:rFonts w:ascii="Times New Roman" w:hAnsi="Times New Roman" w:cs="Times New Roman"/>
          <w:sz w:val="24"/>
          <w:szCs w:val="24"/>
        </w:rPr>
        <w:t xml:space="preserve"> Zlaté bule často</w:t>
      </w:r>
      <w:r w:rsidR="005D33CE">
        <w:rPr>
          <w:rFonts w:ascii="Times New Roman" w:hAnsi="Times New Roman" w:cs="Times New Roman"/>
          <w:sz w:val="24"/>
          <w:szCs w:val="24"/>
        </w:rPr>
        <w:t xml:space="preserve"> chybně</w:t>
      </w:r>
      <w:r w:rsidRPr="005D33CE">
        <w:rPr>
          <w:rFonts w:ascii="Times New Roman" w:hAnsi="Times New Roman" w:cs="Times New Roman"/>
          <w:sz w:val="24"/>
          <w:szCs w:val="24"/>
        </w:rPr>
        <w:t xml:space="preserve"> přikládáno významné postavení</w:t>
      </w:r>
      <w:r w:rsidR="005D33CE">
        <w:rPr>
          <w:rFonts w:ascii="Times New Roman" w:hAnsi="Times New Roman" w:cs="Times New Roman"/>
          <w:sz w:val="24"/>
          <w:szCs w:val="24"/>
        </w:rPr>
        <w:t>.</w:t>
      </w:r>
      <w:r w:rsidRPr="005D33CE">
        <w:rPr>
          <w:rFonts w:ascii="Times New Roman" w:hAnsi="Times New Roman" w:cs="Times New Roman"/>
          <w:sz w:val="24"/>
          <w:szCs w:val="24"/>
        </w:rPr>
        <w:t xml:space="preserve"> Přemysl sám s ní spokojen spíše nebyl, </w:t>
      </w:r>
      <w:r w:rsidR="001D307B" w:rsidRPr="005D33CE">
        <w:rPr>
          <w:rFonts w:ascii="Times New Roman" w:hAnsi="Times New Roman" w:cs="Times New Roman"/>
          <w:sz w:val="24"/>
          <w:szCs w:val="24"/>
        </w:rPr>
        <w:t xml:space="preserve">ačkoliv byl obdarován královským titulem, </w:t>
      </w:r>
      <w:r w:rsidRPr="005D33CE">
        <w:rPr>
          <w:rFonts w:ascii="Times New Roman" w:hAnsi="Times New Roman" w:cs="Times New Roman"/>
          <w:sz w:val="24"/>
          <w:szCs w:val="24"/>
        </w:rPr>
        <w:t>potvrzovala</w:t>
      </w:r>
      <w:r w:rsidR="001D307B" w:rsidRPr="005D33CE">
        <w:rPr>
          <w:rFonts w:ascii="Times New Roman" w:hAnsi="Times New Roman" w:cs="Times New Roman"/>
          <w:sz w:val="24"/>
          <w:szCs w:val="24"/>
        </w:rPr>
        <w:t xml:space="preserve"> také</w:t>
      </w:r>
      <w:r w:rsidRPr="005D33CE">
        <w:rPr>
          <w:rFonts w:ascii="Times New Roman" w:hAnsi="Times New Roman" w:cs="Times New Roman"/>
          <w:sz w:val="24"/>
          <w:szCs w:val="24"/>
        </w:rPr>
        <w:t xml:space="preserve"> právo předáků na volbu českého krále.</w:t>
      </w:r>
      <w:r w:rsidR="001D307B" w:rsidRPr="005D33C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A1325" w:rsidRPr="005D33C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98E3D" w14:textId="77777777" w:rsidR="00A33878" w:rsidRDefault="00A33878" w:rsidP="001D307B">
      <w:pPr>
        <w:spacing w:after="0" w:line="240" w:lineRule="auto"/>
      </w:pPr>
      <w:r>
        <w:separator/>
      </w:r>
    </w:p>
  </w:endnote>
  <w:endnote w:type="continuationSeparator" w:id="0">
    <w:p w14:paraId="0B97EBC6" w14:textId="77777777" w:rsidR="00A33878" w:rsidRDefault="00A33878" w:rsidP="001D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88682" w14:textId="77777777" w:rsidR="00A33878" w:rsidRDefault="00A33878" w:rsidP="001D307B">
      <w:pPr>
        <w:spacing w:after="0" w:line="240" w:lineRule="auto"/>
      </w:pPr>
      <w:r>
        <w:separator/>
      </w:r>
    </w:p>
  </w:footnote>
  <w:footnote w:type="continuationSeparator" w:id="0">
    <w:p w14:paraId="15E71131" w14:textId="77777777" w:rsidR="00A33878" w:rsidRDefault="00A33878" w:rsidP="001D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24300" w14:textId="48B34821" w:rsidR="001D307B" w:rsidRDefault="001D307B" w:rsidP="001D307B">
    <w:pPr>
      <w:pStyle w:val="Zhlav"/>
      <w:jc w:val="right"/>
    </w:pPr>
    <w:r>
      <w:t>Dalibor Čajka, učo. 448632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669"/>
    <w:rsid w:val="001D307B"/>
    <w:rsid w:val="00273F76"/>
    <w:rsid w:val="005D33CE"/>
    <w:rsid w:val="008E5573"/>
    <w:rsid w:val="00A33878"/>
    <w:rsid w:val="00AA1325"/>
    <w:rsid w:val="00BF7669"/>
    <w:rsid w:val="00F2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7E6CA"/>
  <w15:chartTrackingRefBased/>
  <w15:docId w15:val="{1C411CFB-9638-4962-B982-9C15B3B6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307B"/>
  </w:style>
  <w:style w:type="paragraph" w:styleId="Zpat">
    <w:name w:val="footer"/>
    <w:basedOn w:val="Normln"/>
    <w:link w:val="ZpatChar"/>
    <w:uiPriority w:val="99"/>
    <w:unhideWhenUsed/>
    <w:rsid w:val="001D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3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Dal-in Dal-in</dc:creator>
  <cp:keywords/>
  <dc:description/>
  <cp:lastModifiedBy>Martin Wihoda</cp:lastModifiedBy>
  <cp:revision>2</cp:revision>
  <dcterms:created xsi:type="dcterms:W3CDTF">2021-05-15T03:35:00Z</dcterms:created>
  <dcterms:modified xsi:type="dcterms:W3CDTF">2021-05-15T03:35:00Z</dcterms:modified>
</cp:coreProperties>
</file>