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74F0" w14:textId="7A6E103C" w:rsidR="0066667F" w:rsidRDefault="00680746">
      <w:r>
        <w:t xml:space="preserve"> § 13b </w:t>
      </w:r>
      <w:proofErr w:type="spellStart"/>
      <w:r>
        <w:t>Abs</w:t>
      </w:r>
      <w:proofErr w:type="spellEnd"/>
      <w:r>
        <w:t>. 1 </w:t>
      </w:r>
      <w:proofErr w:type="spellStart"/>
      <w:r>
        <w:t>ErbStG</w:t>
      </w:r>
      <w:proofErr w:type="spellEnd"/>
      <w:r>
        <w:t> </w:t>
      </w:r>
      <w:proofErr w:type="spellStart"/>
      <w:r>
        <w:t>n.F</w:t>
      </w:r>
      <w:proofErr w:type="spellEnd"/>
      <w:r>
        <w:t xml:space="preserve">. </w:t>
      </w:r>
      <w:proofErr w:type="spellStart"/>
      <w:r>
        <w:t>begünstigungsfähige</w:t>
      </w:r>
      <w:proofErr w:type="spellEnd"/>
      <w:r>
        <w:t xml:space="preserve"> </w:t>
      </w:r>
      <w:proofErr w:type="spellStart"/>
      <w:r>
        <w:t>Vermögen</w:t>
      </w:r>
      <w:proofErr w:type="spellEnd"/>
    </w:p>
    <w:p w14:paraId="0207A5BE" w14:textId="0DF62FB3" w:rsidR="00680746" w:rsidRDefault="00C176F5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der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inländische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Wirtschaftsteil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des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land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und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forstwirtschaftlichen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Vermögens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</w:t>
      </w:r>
    </w:p>
    <w:p w14:paraId="3890A006" w14:textId="46EB3EF7" w:rsidR="006E4B04" w:rsidRDefault="006E4B04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inländisches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Betriebsvermögen</w:t>
      </w:r>
      <w:proofErr w:type="spellEnd"/>
    </w:p>
    <w:p w14:paraId="49DB5E06" w14:textId="78E38226" w:rsidR="006E4B04" w:rsidRDefault="006E4B04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proofErr w:type="spellStart"/>
      <w:r>
        <w:rPr>
          <w:rStyle w:val="n"/>
          <w:rFonts w:ascii="Verdana" w:hAnsi="Verdana"/>
          <w:color w:val="333333"/>
          <w:sz w:val="20"/>
          <w:szCs w:val="20"/>
          <w:shd w:val="clear" w:color="auto" w:fill="FFFFFF"/>
        </w:rPr>
        <w:t>Anteile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an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einer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Kapitalgesellschaft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wenn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die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Kapitalgesellschaft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im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Zeitpunkt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der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Entstehung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der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Steuer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(§ </w:t>
      </w:r>
      <w:hyperlink r:id="rId4" w:history="1">
        <w:r>
          <w:rPr>
            <w:rStyle w:val="Hypertextovprepojenie"/>
            <w:rFonts w:ascii="Verdana" w:hAnsi="Verdana"/>
            <w:color w:val="CC3300"/>
            <w:sz w:val="20"/>
            <w:szCs w:val="20"/>
            <w:shd w:val="clear" w:color="auto" w:fill="FFFFFF"/>
          </w:rPr>
          <w:t>9</w:t>
        </w:r>
      </w:hyperlink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Sitz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oder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Geschäftsleitung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im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Inland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oder in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einem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Mitgliedstaat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der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Europäischen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Union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oder in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einem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Staat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des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Europäischen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Wirtschaftsraums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hat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und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der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Erblasser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oder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Schenker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am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Nennkapital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dieser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Gesellschaft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unmittelbar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zu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mehr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als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25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Prozent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beteiligt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war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Mindestbeteiligung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).</w:t>
      </w:r>
    </w:p>
    <w:p w14:paraId="4B04F0CD" w14:textId="1796D233" w:rsidR="006E4B04" w:rsidRDefault="006E4B04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14:paraId="100AAD52" w14:textId="3F1999A8" w:rsidR="006E4B04" w:rsidRDefault="006E4B04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Vs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. </w:t>
      </w:r>
    </w:p>
    <w:p w14:paraId="5428AB01" w14:textId="703B4FA0" w:rsidR="006E4B04" w:rsidRDefault="006E4B04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Verwaltungsvermögen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höher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versteuert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)</w:t>
      </w:r>
    </w:p>
    <w:p w14:paraId="512C218B" w14:textId="23424F4E" w:rsidR="006E4B04" w:rsidRDefault="006E4B04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Kunstgegenstände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Kunstsammlungen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wissenschaftliche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Sammlungen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Bibliotheken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und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Archive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Münzen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Edelmetalle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und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Edelsteine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Briefmarkensammlungen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Oldtimer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Yachten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Segelflugzeuge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sowie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sonstige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typischerweise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der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privaten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Lebensführung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dienende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Gegenstände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wenn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der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Handel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mit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diesen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Gegenständen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deren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Herstellung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oder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Verarbeitung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oder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die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entgeltliche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Nutzungsüberlassung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an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Dritte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nicht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der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Hauptzweck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des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Betriebs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ist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;</w:t>
      </w:r>
    </w:p>
    <w:p w14:paraId="41E92F63" w14:textId="6A035ABF" w:rsidR="006E4B04" w:rsidRDefault="006E4B04"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Wertpapiere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sowie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vergleichbare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Forderungen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wenn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sie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nicht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dem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Hauptzweck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des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Gewerbebetriebs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eines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Kreditinstitutes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oder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eines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Finanzdienstleistungsinstitutes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zuzurechnen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sind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;</w:t>
      </w:r>
    </w:p>
    <w:sectPr w:rsidR="006E4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46"/>
    <w:rsid w:val="00130D1E"/>
    <w:rsid w:val="0066667F"/>
    <w:rsid w:val="00680746"/>
    <w:rsid w:val="006E4B04"/>
    <w:rsid w:val="00C1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D0BC"/>
  <w15:chartTrackingRefBased/>
  <w15:docId w15:val="{2DE7402D-7C2B-4B20-A825-64D64904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">
    <w:name w:val="n"/>
    <w:basedOn w:val="Predvolenpsmoodseku"/>
    <w:rsid w:val="006E4B04"/>
  </w:style>
  <w:style w:type="character" w:styleId="Hypertextovprepojenie">
    <w:name w:val="Hyperlink"/>
    <w:basedOn w:val="Predvolenpsmoodseku"/>
    <w:uiPriority w:val="99"/>
    <w:semiHidden/>
    <w:unhideWhenUsed/>
    <w:rsid w:val="006E4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jure.org/gesetze/ErbStG/9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2</cp:revision>
  <dcterms:created xsi:type="dcterms:W3CDTF">2021-04-22T15:40:00Z</dcterms:created>
  <dcterms:modified xsi:type="dcterms:W3CDTF">2021-04-22T15:40:00Z</dcterms:modified>
</cp:coreProperties>
</file>