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B564" w14:textId="2D879615" w:rsidR="0061051A" w:rsidRPr="0061051A" w:rsidRDefault="0061051A" w:rsidP="00AD37CD">
      <w:pPr>
        <w:spacing w:line="360" w:lineRule="auto"/>
        <w:jc w:val="both"/>
        <w:rPr>
          <w:b/>
        </w:rPr>
      </w:pPr>
      <w:r w:rsidRPr="0061051A">
        <w:rPr>
          <w:b/>
        </w:rPr>
        <w:t>Korpus jako zdroj dat pro výzkum syntaxe</w:t>
      </w:r>
    </w:p>
    <w:p w14:paraId="07F49C31" w14:textId="77777777" w:rsidR="0061051A" w:rsidRDefault="0061051A" w:rsidP="00AD37CD">
      <w:pPr>
        <w:spacing w:line="360" w:lineRule="auto"/>
        <w:jc w:val="both"/>
        <w:rPr>
          <w:b/>
        </w:rPr>
      </w:pPr>
      <w:r>
        <w:rPr>
          <w:b/>
        </w:rPr>
        <w:t>Slovnědruhový přechod – mění se syntaktická funkce slovního druhu</w:t>
      </w:r>
    </w:p>
    <w:p w14:paraId="4E18B5C7" w14:textId="77777777" w:rsidR="0061051A" w:rsidRDefault="0061051A" w:rsidP="00AD37CD">
      <w:pPr>
        <w:spacing w:line="360" w:lineRule="auto"/>
        <w:jc w:val="both"/>
        <w:rPr>
          <w:b/>
        </w:rPr>
      </w:pPr>
    </w:p>
    <w:p w14:paraId="2502730E" w14:textId="77777777" w:rsidR="00AD37CD" w:rsidRDefault="00AD37CD" w:rsidP="00AD37CD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6.1 </w:t>
      </w:r>
      <w:r w:rsidRPr="00CD3B48">
        <w:rPr>
          <w:b/>
          <w:i/>
        </w:rPr>
        <w:t>Ještě několik slov ke zna</w:t>
      </w:r>
      <w:r>
        <w:rPr>
          <w:b/>
          <w:i/>
        </w:rPr>
        <w:t>č</w:t>
      </w:r>
      <w:r w:rsidRPr="00CD3B48">
        <w:rPr>
          <w:b/>
          <w:i/>
        </w:rPr>
        <w:t xml:space="preserve">kování neohebných slovních druhů s ohledem na slovnědruhové </w:t>
      </w:r>
      <w:r>
        <w:rPr>
          <w:b/>
          <w:i/>
        </w:rPr>
        <w:t>transpozice</w:t>
      </w:r>
    </w:p>
    <w:p w14:paraId="6A0498CE" w14:textId="77777777" w:rsidR="00AD37CD" w:rsidRPr="0041377A" w:rsidRDefault="00AD37CD" w:rsidP="00AD37CD">
      <w:pPr>
        <w:spacing w:line="360" w:lineRule="auto"/>
        <w:jc w:val="both"/>
        <w:rPr>
          <w:b/>
        </w:rPr>
      </w:pPr>
      <w:r>
        <w:rPr>
          <w:b/>
        </w:rPr>
        <w:t xml:space="preserve">6.1.A </w:t>
      </w:r>
      <w:r w:rsidRPr="0041377A">
        <w:rPr>
          <w:b/>
        </w:rPr>
        <w:t>Motivační úvod</w:t>
      </w:r>
    </w:p>
    <w:p w14:paraId="4D6703EE" w14:textId="77777777" w:rsidR="00AD37CD" w:rsidRDefault="00AD37CD" w:rsidP="00AD37CD">
      <w:pPr>
        <w:spacing w:line="360" w:lineRule="auto"/>
        <w:jc w:val="both"/>
      </w:pPr>
      <w:r>
        <w:t xml:space="preserve">Jednou z oblastí slovnědruhových přechodů je tzv. </w:t>
      </w:r>
      <w:proofErr w:type="spellStart"/>
      <w:r>
        <w:t>prepozicionalizace</w:t>
      </w:r>
      <w:proofErr w:type="spellEnd"/>
      <w:r>
        <w:t xml:space="preserve">, při níž se z adverbia (mnohdy vzniklého ustrnutím pádu jména) stane nevlastní předložka. Mějme určit slovnědruhovou platnost tvaru </w:t>
      </w:r>
      <w:r>
        <w:rPr>
          <w:i/>
        </w:rPr>
        <w:t>místo</w:t>
      </w:r>
      <w:r>
        <w:t xml:space="preserve"> v následující větě:</w:t>
      </w:r>
    </w:p>
    <w:p w14:paraId="040EAD49" w14:textId="77777777" w:rsidR="00AD37CD" w:rsidRDefault="00AD37CD" w:rsidP="00AD37CD">
      <w:pPr>
        <w:spacing w:line="360" w:lineRule="auto"/>
        <w:jc w:val="both"/>
        <w:rPr>
          <w:i/>
        </w:rPr>
      </w:pPr>
      <w:r w:rsidRPr="00CD3B48">
        <w:rPr>
          <w:b/>
          <w:i/>
        </w:rPr>
        <w:t>&lt;</w:t>
      </w:r>
      <w:r w:rsidRPr="001E04ED">
        <w:rPr>
          <w:b/>
          <w:i/>
        </w:rPr>
        <w:t>Místo</w:t>
      </w:r>
      <w:r>
        <w:rPr>
          <w:b/>
          <w:i/>
        </w:rPr>
        <w:t xml:space="preserve">&gt; </w:t>
      </w:r>
      <w:r>
        <w:rPr>
          <w:i/>
        </w:rPr>
        <w:t>vašich schůzek sis měl lépe vybírat.</w:t>
      </w:r>
    </w:p>
    <w:p w14:paraId="421A8B9B" w14:textId="77777777" w:rsidR="00AD37CD" w:rsidRDefault="00AD37CD" w:rsidP="00AD37CD">
      <w:pPr>
        <w:spacing w:line="360" w:lineRule="auto"/>
        <w:jc w:val="both"/>
      </w:pPr>
      <w:r>
        <w:t xml:space="preserve">Tato věta není z korpusů, ale demonstrujeme na ní řídký případ, kdy slovnědruhová homonymie na úrovni jednotlivého tvaru způsobí dvojí možnou interpretaci na úrovni celé věty. Z korpusu je následující doklad: </w:t>
      </w:r>
      <w:r>
        <w:rPr>
          <w:i/>
        </w:rPr>
        <w:t xml:space="preserve">První muž se ho pokusil obelstít na trajektu Star, což bylo </w:t>
      </w:r>
      <w:r w:rsidRPr="00CD3B48">
        <w:rPr>
          <w:b/>
          <w:i/>
        </w:rPr>
        <w:t>&lt;místo&gt;</w:t>
      </w:r>
      <w:r>
        <w:rPr>
          <w:i/>
        </w:rPr>
        <w:t xml:space="preserve"> dohodnuté schůzky.</w:t>
      </w:r>
      <w:r>
        <w:t xml:space="preserve"> V tomto případě vyloučíme asi možnost, že jde o předložku. K vyloučení interpretace je třeba analyzovat celé souvětí vč. </w:t>
      </w:r>
      <w:proofErr w:type="spellStart"/>
      <w:r>
        <w:t>koreference</w:t>
      </w:r>
      <w:proofErr w:type="spellEnd"/>
      <w:r>
        <w:t xml:space="preserve">.  </w:t>
      </w:r>
    </w:p>
    <w:p w14:paraId="0F6A9B18" w14:textId="77777777" w:rsidR="00AD37CD" w:rsidRPr="00210C9D" w:rsidRDefault="00AD37CD" w:rsidP="00AD37CD">
      <w:pPr>
        <w:spacing w:line="360" w:lineRule="auto"/>
        <w:jc w:val="both"/>
      </w:pPr>
    </w:p>
    <w:p w14:paraId="07CC9CC6" w14:textId="77777777" w:rsidR="00AD37CD" w:rsidRPr="0041377A" w:rsidRDefault="00AD37CD" w:rsidP="00AD37CD">
      <w:pPr>
        <w:spacing w:line="360" w:lineRule="auto"/>
        <w:jc w:val="both"/>
        <w:rPr>
          <w:b/>
        </w:rPr>
      </w:pPr>
      <w:r>
        <w:rPr>
          <w:b/>
        </w:rPr>
        <w:t xml:space="preserve">6.1.B </w:t>
      </w:r>
      <w:r w:rsidRPr="0041377A">
        <w:rPr>
          <w:b/>
        </w:rPr>
        <w:t>Nastínění problému</w:t>
      </w:r>
    </w:p>
    <w:p w14:paraId="4FA6FC1F" w14:textId="77777777" w:rsidR="00AD37CD" w:rsidRDefault="00AD37CD" w:rsidP="00AD37CD">
      <w:pPr>
        <w:spacing w:line="360" w:lineRule="auto"/>
        <w:jc w:val="both"/>
      </w:pPr>
      <w:r>
        <w:t xml:space="preserve">Homonymie může nastat tam, kde je na základě kontextu možné obojí čtení. Kontext je dvojí, jazykový a mimojazykový. Z hlediska jazykového kontextu je pro interpretaci tvaru jako předložky třeba splnit podmínku, že za tímto tvarem následuje tvar jména / tvary jmen (jmenná skupina) v tom pádě, se kterým se předložka pojí. To je podmínka nutná, nikoli postačující. </w:t>
      </w:r>
    </w:p>
    <w:p w14:paraId="542300D6" w14:textId="77777777" w:rsidR="00AD37CD" w:rsidRDefault="00AD37CD" w:rsidP="00AD37CD">
      <w:pPr>
        <w:spacing w:line="360" w:lineRule="auto"/>
        <w:jc w:val="both"/>
      </w:pPr>
    </w:p>
    <w:p w14:paraId="5DE3E7D5" w14:textId="77777777" w:rsidR="00AD37CD" w:rsidRPr="0041377A" w:rsidRDefault="00AD37CD" w:rsidP="00AD37CD">
      <w:pPr>
        <w:spacing w:line="360" w:lineRule="auto"/>
        <w:jc w:val="both"/>
        <w:rPr>
          <w:b/>
        </w:rPr>
      </w:pPr>
      <w:r>
        <w:rPr>
          <w:b/>
        </w:rPr>
        <w:t xml:space="preserve">6.1.C </w:t>
      </w:r>
      <w:r w:rsidRPr="0041377A">
        <w:rPr>
          <w:b/>
        </w:rPr>
        <w:t>Otázky</w:t>
      </w:r>
    </w:p>
    <w:p w14:paraId="0B41CB45" w14:textId="77777777" w:rsidR="00AD37CD" w:rsidRDefault="00AD37CD" w:rsidP="00AD37CD">
      <w:pPr>
        <w:spacing w:line="360" w:lineRule="auto"/>
        <w:jc w:val="both"/>
      </w:pPr>
      <w:r>
        <w:t>Podívejme se na to, jak jsou v korpusech značkovány nepůvodní předložky (seznam najděte např. v mluvnicích). Pokusme se najít případy, kdy tvarová homonymie na úrovni slovního druhu je důvodem chybné desambiguace.</w:t>
      </w:r>
    </w:p>
    <w:p w14:paraId="761FD753" w14:textId="77777777" w:rsidR="00AD37CD" w:rsidRPr="001E04ED" w:rsidRDefault="00AD37CD" w:rsidP="00AD37CD">
      <w:pPr>
        <w:spacing w:line="360" w:lineRule="auto"/>
        <w:jc w:val="both"/>
      </w:pPr>
    </w:p>
    <w:p w14:paraId="3E94935F" w14:textId="77777777" w:rsidR="00AD37CD" w:rsidRPr="0041377A" w:rsidRDefault="00AD37CD" w:rsidP="00AD37CD">
      <w:pPr>
        <w:spacing w:line="360" w:lineRule="auto"/>
        <w:jc w:val="both"/>
        <w:rPr>
          <w:b/>
        </w:rPr>
      </w:pPr>
      <w:r>
        <w:rPr>
          <w:b/>
        </w:rPr>
        <w:t xml:space="preserve">6.1.D </w:t>
      </w:r>
      <w:r w:rsidRPr="0041377A">
        <w:rPr>
          <w:b/>
        </w:rPr>
        <w:t>Formulace dotazu pro získání dat z korpusů</w:t>
      </w:r>
    </w:p>
    <w:p w14:paraId="64E6860A" w14:textId="77777777" w:rsidR="00AD37CD" w:rsidRDefault="00AD37CD" w:rsidP="00AD37CD">
      <w:pPr>
        <w:spacing w:line="360" w:lineRule="auto"/>
        <w:jc w:val="both"/>
      </w:pPr>
      <w:r>
        <w:t xml:space="preserve">Zvolíme </w:t>
      </w:r>
      <w:r>
        <w:rPr>
          <w:b/>
        </w:rPr>
        <w:t>Typ dotazu slovní tvar</w:t>
      </w:r>
      <w:r>
        <w:t xml:space="preserve"> a do dotazovacího řádku zapíšeme </w:t>
      </w:r>
      <w:r w:rsidRPr="00DE03D8">
        <w:rPr>
          <w:i/>
        </w:rPr>
        <w:t>kolem</w:t>
      </w:r>
      <w:r>
        <w:t xml:space="preserve">. Zvolíme filtr (pozitivní),  rozsah hledání &lt;–1,–1&gt;, </w:t>
      </w:r>
      <w:r>
        <w:rPr>
          <w:b/>
        </w:rPr>
        <w:t xml:space="preserve">Typ dotazu </w:t>
      </w:r>
      <w:proofErr w:type="spellStart"/>
      <w:r>
        <w:rPr>
          <w:b/>
        </w:rPr>
        <w:t>cql</w:t>
      </w:r>
      <w:proofErr w:type="spellEnd"/>
      <w:r>
        <w:rPr>
          <w:b/>
        </w:rPr>
        <w:t xml:space="preserve"> </w:t>
      </w:r>
      <w:r>
        <w:t xml:space="preserve">a do dotazovacího řádku zapíšeme </w:t>
      </w:r>
      <w:r w:rsidRPr="00DE03D8">
        <w:rPr>
          <w:i/>
        </w:rPr>
        <w:t>[</w:t>
      </w:r>
      <w:r>
        <w:rPr>
          <w:i/>
        </w:rPr>
        <w:t>tag=“</w:t>
      </w:r>
      <w:r w:rsidRPr="00376660">
        <w:rPr>
          <w:i/>
        </w:rPr>
        <w:t>[</w:t>
      </w:r>
      <w:r w:rsidRPr="00DE03D8">
        <w:rPr>
          <w:i/>
        </w:rPr>
        <w:t>APC].N.7.*</w:t>
      </w:r>
      <w:r>
        <w:rPr>
          <w:i/>
        </w:rPr>
        <w:t>“</w:t>
      </w:r>
      <w:r w:rsidRPr="00376660">
        <w:rPr>
          <w:i/>
        </w:rPr>
        <w:t>]</w:t>
      </w:r>
      <w:r>
        <w:t xml:space="preserve">. Chceme tak získat řádky, na nichž se může vyskytnout substantivum </w:t>
      </w:r>
      <w:r w:rsidRPr="00B1072B">
        <w:rPr>
          <w:i/>
        </w:rPr>
        <w:t>kolo</w:t>
      </w:r>
      <w:r>
        <w:t xml:space="preserve"> rozvité shodným přívlastkem (adjektivem, zájmenem nebo číslovkou v 7. pádě středního rodu). </w:t>
      </w:r>
    </w:p>
    <w:p w14:paraId="7AB1285D" w14:textId="77777777" w:rsidR="00AD37CD" w:rsidRPr="00D63C52" w:rsidRDefault="00AD37CD" w:rsidP="00AD37CD">
      <w:pPr>
        <w:spacing w:line="360" w:lineRule="auto"/>
        <w:jc w:val="both"/>
      </w:pPr>
      <w:r w:rsidRPr="0000121F">
        <w:rPr>
          <w:noProof/>
        </w:rPr>
        <w:lastRenderedPageBreak/>
        <w:drawing>
          <wp:inline distT="0" distB="0" distL="0" distR="0" wp14:anchorId="7FE469B3" wp14:editId="78B7EDE3">
            <wp:extent cx="5970905" cy="20383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65DA" w14:textId="77777777" w:rsidR="00AD37CD" w:rsidRDefault="00AD37CD" w:rsidP="00AD37CD">
      <w:pPr>
        <w:spacing w:line="360" w:lineRule="auto"/>
        <w:jc w:val="both"/>
      </w:pPr>
      <w:r>
        <w:t xml:space="preserve">Poté ponecháme filtr (pozitivní), zadáme rozsah hledání &lt;1,1&gt;, </w:t>
      </w:r>
      <w:r>
        <w:rPr>
          <w:b/>
        </w:rPr>
        <w:t xml:space="preserve">Typ dotazu </w:t>
      </w:r>
      <w:proofErr w:type="spellStart"/>
      <w:r>
        <w:rPr>
          <w:b/>
        </w:rPr>
        <w:t>cql</w:t>
      </w:r>
      <w:proofErr w:type="spellEnd"/>
      <w:r>
        <w:rPr>
          <w:b/>
        </w:rPr>
        <w:t xml:space="preserve"> </w:t>
      </w:r>
      <w:r>
        <w:t xml:space="preserve">a do dotazovacího řádku zapíšeme </w:t>
      </w:r>
      <w:r w:rsidRPr="00376660">
        <w:rPr>
          <w:i/>
        </w:rPr>
        <w:t>[tag=</w:t>
      </w:r>
      <w:r>
        <w:rPr>
          <w:i/>
        </w:rPr>
        <w:t>“</w:t>
      </w:r>
      <w:r w:rsidRPr="00DE03D8">
        <w:rPr>
          <w:i/>
        </w:rPr>
        <w:t>....2.*</w:t>
      </w:r>
      <w:r>
        <w:rPr>
          <w:i/>
        </w:rPr>
        <w:t>“]</w:t>
      </w:r>
      <w:r>
        <w:t>. Chceme získat pouze ty případy, kdy za tvarem</w:t>
      </w:r>
      <w:r w:rsidRPr="00B1072B">
        <w:rPr>
          <w:i/>
        </w:rPr>
        <w:t xml:space="preserve"> kolem</w:t>
      </w:r>
      <w:r>
        <w:t xml:space="preserve"> následuje jméno ve 2. pádě (předložka </w:t>
      </w:r>
      <w:r w:rsidRPr="00890D27">
        <w:rPr>
          <w:i/>
        </w:rPr>
        <w:t>kolem</w:t>
      </w:r>
      <w:r>
        <w:t xml:space="preserve"> se pojí se 2. pádem).</w:t>
      </w:r>
      <w:r w:rsidDel="00544F00">
        <w:t xml:space="preserve"> </w:t>
      </w:r>
    </w:p>
    <w:p w14:paraId="685E55F4" w14:textId="77777777" w:rsidR="00AD37CD" w:rsidRPr="005955B9" w:rsidRDefault="00AD37CD" w:rsidP="00AD37CD">
      <w:pPr>
        <w:spacing w:line="360" w:lineRule="auto"/>
        <w:jc w:val="both"/>
        <w:rPr>
          <w:noProof/>
          <w:lang w:eastAsia="en-US"/>
        </w:rPr>
      </w:pPr>
      <w:r w:rsidRPr="0000121F">
        <w:rPr>
          <w:noProof/>
        </w:rPr>
        <w:drawing>
          <wp:inline distT="0" distB="0" distL="0" distR="0" wp14:anchorId="432E1307" wp14:editId="599CCD3B">
            <wp:extent cx="5974715" cy="2224405"/>
            <wp:effectExtent l="0" t="0" r="6985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451ED" w14:textId="77777777" w:rsidR="00AD37CD" w:rsidRDefault="00AD37CD" w:rsidP="00AD37CD">
      <w:pPr>
        <w:spacing w:line="360" w:lineRule="auto"/>
        <w:jc w:val="both"/>
      </w:pPr>
    </w:p>
    <w:p w14:paraId="5497B43C" w14:textId="77777777" w:rsidR="00AD37CD" w:rsidRPr="00D63C52" w:rsidRDefault="00AD37CD" w:rsidP="00AD37CD">
      <w:pPr>
        <w:spacing w:line="360" w:lineRule="auto"/>
        <w:jc w:val="both"/>
      </w:pPr>
      <w:r>
        <w:t xml:space="preserve">Týž postup zopakujeme pro vyhledání tvaru </w:t>
      </w:r>
      <w:r>
        <w:rPr>
          <w:i/>
        </w:rPr>
        <w:t xml:space="preserve">místo, </w:t>
      </w:r>
      <w:r>
        <w:t xml:space="preserve">přičemž omezíme výběr </w:t>
      </w:r>
      <w:proofErr w:type="spellStart"/>
      <w:r>
        <w:t>konkordančních</w:t>
      </w:r>
      <w:proofErr w:type="spellEnd"/>
      <w:r>
        <w:t xml:space="preserve"> řádků na ty případy, kdy bezprostředně vpravo (</w:t>
      </w:r>
      <w:r w:rsidRPr="005B7DCE">
        <w:t>&lt;</w:t>
      </w:r>
      <w:r>
        <w:t>1,1</w:t>
      </w:r>
      <w:r w:rsidRPr="005B7DCE">
        <w:t>&gt;</w:t>
      </w:r>
      <w:r>
        <w:t>) za tímto tvarem stojí tvar označkovaný jako 2. pád (</w:t>
      </w:r>
      <w:r w:rsidRPr="00DE03D8">
        <w:rPr>
          <w:i/>
        </w:rPr>
        <w:t>....2.*</w:t>
      </w:r>
      <w:r>
        <w:t>) a bezprostředně vlevo (&lt;–1,–1&gt;)  před tímto tvarem stojí tvar označkovaný jako adjektivum, zájmeno nebo číslovka středního rodu a jednotného čísla v 1. nebo 4. pádě (</w:t>
      </w:r>
      <w:r w:rsidRPr="00DE03D8">
        <w:rPr>
          <w:i/>
        </w:rPr>
        <w:t>[APC].NS[14].*</w:t>
      </w:r>
      <w:r>
        <w:t>).</w:t>
      </w:r>
    </w:p>
    <w:p w14:paraId="5AEA320B" w14:textId="77777777" w:rsidR="00AD37CD" w:rsidRDefault="00AD37CD" w:rsidP="00AD37CD">
      <w:pPr>
        <w:spacing w:line="360" w:lineRule="auto"/>
        <w:jc w:val="both"/>
      </w:pPr>
    </w:p>
    <w:p w14:paraId="658EBE70" w14:textId="77777777" w:rsidR="00AD37CD" w:rsidRPr="0041377A" w:rsidRDefault="00AD37CD" w:rsidP="00AD37CD">
      <w:pPr>
        <w:spacing w:line="360" w:lineRule="auto"/>
        <w:jc w:val="both"/>
        <w:rPr>
          <w:b/>
        </w:rPr>
      </w:pPr>
      <w:r>
        <w:rPr>
          <w:b/>
        </w:rPr>
        <w:t xml:space="preserve">6.1.E </w:t>
      </w:r>
      <w:r w:rsidRPr="0041377A">
        <w:rPr>
          <w:b/>
        </w:rPr>
        <w:t>Třídění a pozorování dat získaných z korpusů</w:t>
      </w:r>
    </w:p>
    <w:p w14:paraId="302CC4DA" w14:textId="77777777" w:rsidR="00AD37CD" w:rsidRDefault="00AD37CD" w:rsidP="00AD37CD">
      <w:pPr>
        <w:spacing w:line="360" w:lineRule="auto"/>
        <w:jc w:val="both"/>
      </w:pPr>
      <w:r>
        <w:t>Nyní si pozorně prohlédneme konkordance a zjistíme, že v desambiguaci se vyskytují chyby.</w:t>
      </w:r>
    </w:p>
    <w:p w14:paraId="4088A3D4" w14:textId="77777777"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 wp14:anchorId="6F7A3A88" wp14:editId="3F24550A">
            <wp:extent cx="5744210" cy="189230"/>
            <wp:effectExtent l="0" t="0" r="889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1E48A" w14:textId="77777777"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 wp14:anchorId="6FDF2E2E" wp14:editId="5FFB9AD6">
            <wp:extent cx="5624195" cy="182245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96AE2" w14:textId="77777777" w:rsidR="00AD37CD" w:rsidRDefault="00AD37CD" w:rsidP="00AD37CD">
      <w:pPr>
        <w:spacing w:line="360" w:lineRule="auto"/>
        <w:jc w:val="both"/>
      </w:pPr>
      <w:r w:rsidRPr="0000121F">
        <w:rPr>
          <w:noProof/>
        </w:rPr>
        <w:drawing>
          <wp:inline distT="0" distB="0" distL="0" distR="0" wp14:anchorId="526FF4F5" wp14:editId="2C154674">
            <wp:extent cx="5561965" cy="151130"/>
            <wp:effectExtent l="0" t="0" r="63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3765" w14:textId="77777777" w:rsidR="00AD37CD" w:rsidRDefault="00AD37CD" w:rsidP="00AD37CD">
      <w:pPr>
        <w:spacing w:line="360" w:lineRule="auto"/>
        <w:jc w:val="both"/>
      </w:pPr>
      <w:r>
        <w:t xml:space="preserve">Chybnou desambiguaci pozorujeme i v případě konkordancí tvaru </w:t>
      </w:r>
      <w:r>
        <w:rPr>
          <w:i/>
        </w:rPr>
        <w:t>místo</w:t>
      </w:r>
      <w:r>
        <w:t>.</w:t>
      </w:r>
      <w:r w:rsidRPr="005B7DCE">
        <w:t xml:space="preserve"> </w:t>
      </w:r>
    </w:p>
    <w:p w14:paraId="7C37E89E" w14:textId="77777777"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 wp14:anchorId="473C95C0" wp14:editId="7A49B6C5">
            <wp:extent cx="5970905" cy="1790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E7D1" w14:textId="77777777"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lastRenderedPageBreak/>
        <w:drawing>
          <wp:inline distT="0" distB="0" distL="0" distR="0" wp14:anchorId="78F5A377" wp14:editId="028D0ED6">
            <wp:extent cx="5692775" cy="206375"/>
            <wp:effectExtent l="0" t="0" r="3175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0FE7D" w14:textId="77777777"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 wp14:anchorId="787ECBEE" wp14:editId="33625F67">
            <wp:extent cx="5259705" cy="175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D8C7" w14:textId="77777777" w:rsidR="00AD37CD" w:rsidRDefault="00AD37CD" w:rsidP="00AD37CD">
      <w:pPr>
        <w:spacing w:line="360" w:lineRule="auto"/>
        <w:jc w:val="both"/>
        <w:rPr>
          <w:noProof/>
        </w:rPr>
      </w:pPr>
      <w:r w:rsidRPr="0000121F">
        <w:rPr>
          <w:noProof/>
        </w:rPr>
        <w:drawing>
          <wp:inline distT="0" distB="0" distL="0" distR="0" wp14:anchorId="5FF2B939" wp14:editId="7DB8B27E">
            <wp:extent cx="5386705" cy="189230"/>
            <wp:effectExtent l="0" t="0" r="444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C1C30" w14:textId="77777777" w:rsidR="00AD37CD" w:rsidRDefault="00AD37CD" w:rsidP="00AD37CD">
      <w:pPr>
        <w:spacing w:line="360" w:lineRule="auto"/>
        <w:jc w:val="both"/>
      </w:pPr>
    </w:p>
    <w:p w14:paraId="79324BBB" w14:textId="77777777" w:rsidR="00AD37CD" w:rsidRPr="0041377A" w:rsidRDefault="00AD37CD" w:rsidP="00AD37CD">
      <w:pPr>
        <w:spacing w:line="360" w:lineRule="auto"/>
        <w:jc w:val="both"/>
        <w:rPr>
          <w:b/>
        </w:rPr>
      </w:pPr>
      <w:r>
        <w:rPr>
          <w:b/>
        </w:rPr>
        <w:t xml:space="preserve">6.1.F </w:t>
      </w:r>
      <w:r w:rsidRPr="0041377A">
        <w:rPr>
          <w:b/>
        </w:rPr>
        <w:t>Formulace závěrů</w:t>
      </w:r>
    </w:p>
    <w:p w14:paraId="19902D29" w14:textId="77777777" w:rsidR="00AD37CD" w:rsidRDefault="00AD37CD" w:rsidP="00AD37CD">
      <w:pPr>
        <w:spacing w:line="360" w:lineRule="auto"/>
        <w:jc w:val="both"/>
      </w:pPr>
      <w:r>
        <w:t xml:space="preserve">Je patrné, že slovnědruhové přechody, které mají za následek vícero interpretací na úrovni lemmatizace, slovního druhu i dalších slovnědruhově závislých kategorií, značně ovlivňují obtíže a chyby na úrovni desambiguace. S výsledky automatické analýzy je tudíž třeba pracovat opatrně s vědomím toho, že je třeba údaje vždy zkontrolovat. </w:t>
      </w:r>
    </w:p>
    <w:p w14:paraId="4B214AD8" w14:textId="77777777" w:rsidR="00AD37CD" w:rsidRDefault="00AD37CD" w:rsidP="00AD37CD">
      <w:pPr>
        <w:spacing w:line="360" w:lineRule="auto"/>
        <w:jc w:val="both"/>
      </w:pPr>
    </w:p>
    <w:p w14:paraId="57412F36" w14:textId="77777777" w:rsidR="00AD37CD" w:rsidRPr="0041377A" w:rsidRDefault="00AD37CD" w:rsidP="00AD37CD">
      <w:pPr>
        <w:spacing w:line="360" w:lineRule="auto"/>
        <w:jc w:val="both"/>
        <w:rPr>
          <w:b/>
        </w:rPr>
      </w:pPr>
      <w:r>
        <w:rPr>
          <w:b/>
        </w:rPr>
        <w:t xml:space="preserve">6.1.G </w:t>
      </w:r>
      <w:r w:rsidRPr="0041377A">
        <w:rPr>
          <w:b/>
        </w:rPr>
        <w:t>Formulace dalších otázek vyplynuvších ze zkoumání daného jevu</w:t>
      </w:r>
    </w:p>
    <w:p w14:paraId="7ABD1649" w14:textId="77777777" w:rsidR="00AD37CD" w:rsidRDefault="00AD37CD" w:rsidP="00AD37CD">
      <w:pPr>
        <w:spacing w:line="360" w:lineRule="auto"/>
        <w:jc w:val="both"/>
      </w:pPr>
      <w:r>
        <w:t xml:space="preserve">Ve výběru konkordancí, na nichž jsme zkoumali úspěšnost desambiguace, jsme vycházeli z toho, že ve zvolených případech by mohlo dojít k problémům při aplikaci </w:t>
      </w:r>
      <w:proofErr w:type="spellStart"/>
      <w:r>
        <w:t>desambiguačních</w:t>
      </w:r>
      <w:proofErr w:type="spellEnd"/>
      <w:r>
        <w:t xml:space="preserve"> pravidel založených na lingvistických předpokladech. Nezkoumali jsme úspěšnost všech </w:t>
      </w:r>
      <w:proofErr w:type="spellStart"/>
      <w:r>
        <w:t>konkordančních</w:t>
      </w:r>
      <w:proofErr w:type="spellEnd"/>
      <w:r>
        <w:t xml:space="preserve"> řádků. Vybrali jsme pouze ty, pro které platilo, že tvar lze na základě lingvistické analýzy bezprostředního kontextu interpretovat obojím způsobem. </w:t>
      </w:r>
      <w:proofErr w:type="spellStart"/>
      <w:r>
        <w:t>Pravidlová</w:t>
      </w:r>
      <w:proofErr w:type="spellEnd"/>
      <w:r>
        <w:t xml:space="preserve"> desambiguace byla použita pro odstranění některých chyb desambiguace stochastické. Zajímavé by bylo porovnat chybovost v jednotlivých korpusech řady </w:t>
      </w:r>
      <w:r w:rsidRPr="005E7004">
        <w:t>(více Je</w:t>
      </w:r>
      <w:r>
        <w:t>línek 2008, Skoumalová 2011</w:t>
      </w:r>
      <w:r w:rsidRPr="005E7004">
        <w:t>).</w:t>
      </w:r>
    </w:p>
    <w:p w14:paraId="430CEF65" w14:textId="77777777" w:rsidR="00AD37CD" w:rsidRDefault="00AD37CD" w:rsidP="00AD37CD">
      <w:pPr>
        <w:spacing w:line="360" w:lineRule="auto"/>
        <w:jc w:val="both"/>
      </w:pPr>
    </w:p>
    <w:p w14:paraId="6248DFB7" w14:textId="77777777" w:rsidR="00AD37CD" w:rsidRPr="0041377A" w:rsidRDefault="00AD37CD" w:rsidP="00AD37CD">
      <w:pPr>
        <w:spacing w:line="360" w:lineRule="auto"/>
        <w:jc w:val="both"/>
        <w:rPr>
          <w:b/>
        </w:rPr>
      </w:pPr>
      <w:r>
        <w:rPr>
          <w:b/>
        </w:rPr>
        <w:t xml:space="preserve">6.1.H </w:t>
      </w:r>
      <w:r w:rsidRPr="0041377A">
        <w:rPr>
          <w:b/>
        </w:rPr>
        <w:t>Zadání cvičení, v nichž lze uplatnit analogické postupy</w:t>
      </w:r>
    </w:p>
    <w:p w14:paraId="20BB4A25" w14:textId="77777777" w:rsidR="00AD37CD" w:rsidRDefault="00AD37CD" w:rsidP="00AD37CD">
      <w:pPr>
        <w:spacing w:line="360" w:lineRule="auto"/>
        <w:jc w:val="both"/>
      </w:pPr>
      <w:r w:rsidRPr="00685A52">
        <w:t xml:space="preserve">Sledujte, jak je provedena </w:t>
      </w:r>
      <w:r>
        <w:t>desamb</w:t>
      </w:r>
      <w:r w:rsidRPr="00685A52">
        <w:t xml:space="preserve">iguace u tvarů </w:t>
      </w:r>
      <w:r w:rsidRPr="00685A52">
        <w:rPr>
          <w:i/>
        </w:rPr>
        <w:t>během, bokem, úderem, stranou, ...</w:t>
      </w:r>
      <w:r>
        <w:t xml:space="preserve"> Postupujte podobným způsobem, jak bylo naznačeno.</w:t>
      </w:r>
    </w:p>
    <w:p w14:paraId="4C183F0A" w14:textId="77777777" w:rsidR="00D34BBE" w:rsidRDefault="00D34BBE"/>
    <w:p w14:paraId="5937350D" w14:textId="77777777" w:rsidR="007343F7" w:rsidRDefault="007343F7" w:rsidP="007343F7">
      <w:pPr>
        <w:rPr>
          <w:b/>
          <w:i/>
        </w:rPr>
      </w:pPr>
      <w:r w:rsidRPr="007343F7">
        <w:t xml:space="preserve">17. 5. </w:t>
      </w:r>
      <w:proofErr w:type="spellStart"/>
      <w:r w:rsidRPr="007343F7">
        <w:t>Dú</w:t>
      </w:r>
      <w:proofErr w:type="spellEnd"/>
      <w:r w:rsidRPr="007343F7">
        <w:t xml:space="preserve">: Sleduj v korpusu slovnědruhové značkování tvaru </w:t>
      </w:r>
      <w:r w:rsidRPr="007343F7">
        <w:rPr>
          <w:i/>
        </w:rPr>
        <w:t>díky</w:t>
      </w:r>
      <w:r>
        <w:t>, který</w:t>
      </w:r>
      <w:r w:rsidRPr="007343F7">
        <w:t xml:space="preserve"> lze interpretovat vícero způsoby a pokus se navrhnout, jak postupovat při odhalení chyb v </w:t>
      </w:r>
      <w:proofErr w:type="spellStart"/>
      <w:r w:rsidRPr="007343F7">
        <w:t>disambiguaci</w:t>
      </w:r>
      <w:proofErr w:type="spellEnd"/>
      <w:r w:rsidRPr="007343F7">
        <w:t xml:space="preserve">. </w:t>
      </w:r>
    </w:p>
    <w:p w14:paraId="35FB2C6F" w14:textId="77777777" w:rsidR="007343F7" w:rsidRDefault="007343F7"/>
    <w:sectPr w:rsidR="0073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CD"/>
    <w:rsid w:val="005506CD"/>
    <w:rsid w:val="0061051A"/>
    <w:rsid w:val="007343F7"/>
    <w:rsid w:val="00AD37CD"/>
    <w:rsid w:val="00C27ACB"/>
    <w:rsid w:val="00D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3577"/>
  <w15:chartTrackingRefBased/>
  <w15:docId w15:val="{49A84F14-7631-45DC-AE4F-C439B5EF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2</cp:revision>
  <dcterms:created xsi:type="dcterms:W3CDTF">2022-02-16T08:30:00Z</dcterms:created>
  <dcterms:modified xsi:type="dcterms:W3CDTF">2022-02-16T08:30:00Z</dcterms:modified>
</cp:coreProperties>
</file>