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50" w:rsidRPr="002E0950" w:rsidRDefault="002E0950" w:rsidP="002E09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 w:rsidRPr="002E09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fldChar w:fldCharType="begin"/>
      </w:r>
      <w:r w:rsidRPr="002E09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instrText xml:space="preserve"> HYPERLINK "https://www.artforum.com/print/reviews/196804/james-brooks-71400" \o "James Brooks" </w:instrText>
      </w:r>
      <w:r w:rsidRPr="002E09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fldChar w:fldCharType="separate"/>
      </w:r>
      <w:r w:rsidRPr="002E0950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cs-CZ"/>
        </w:rPr>
        <w:t xml:space="preserve">James </w:t>
      </w:r>
      <w:proofErr w:type="spellStart"/>
      <w:r w:rsidRPr="002E0950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cs-CZ"/>
        </w:rPr>
        <w:t>Brooks</w:t>
      </w:r>
      <w:proofErr w:type="spellEnd"/>
      <w:r w:rsidRPr="002E0950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cs-CZ" w:eastAsia="cs-CZ"/>
        </w:rPr>
        <w:t xml:space="preserve"> </w:t>
      </w:r>
      <w:r w:rsidRPr="002E09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fldChar w:fldCharType="end"/>
      </w:r>
    </w:p>
    <w:p w:rsidR="002E0950" w:rsidRPr="002E0950" w:rsidRDefault="002E0950" w:rsidP="002E0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Martha Jackson </w:t>
      </w:r>
      <w:proofErr w:type="spellStart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James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Brooks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Martha Jackson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product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past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imprint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Pop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technique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infection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dried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skin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hardened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rigid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inexpressiveness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blue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verging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aqua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flesh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acid green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predominate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Brooks’s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paint-handling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isolates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filling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around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figures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so much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result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drawn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stroked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slightly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unsynchronized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deposit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silk-screen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lithographic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stencil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In 1961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Brooks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dissatisfaction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had done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1950s</w:t>
      </w:r>
      <w:proofErr w:type="gram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functioned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terms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agglomerative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principle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evenly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inflected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fabric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figurative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incident. “I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more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,” he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said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“I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absorb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accident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quieter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dumber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articulate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fewer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interesting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fascination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.”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example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Brooks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looking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Kelly’s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early </w:t>
      </w:r>
      <w:proofErr w:type="gram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1960s</w:t>
      </w:r>
      <w:proofErr w:type="gram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figure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negated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propulsion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equalization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figurative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thrust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every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Kelly’s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evident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lucidity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Brooks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trying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treatment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positive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accounts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compositions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Diston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Cullodon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locate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pockets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But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result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minor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decorations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up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familiar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Brooksian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portentously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adrift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inert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sea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383596" w:rsidRDefault="00383596"/>
    <w:p w:rsidR="002E0950" w:rsidRPr="002E0950" w:rsidRDefault="002E0950" w:rsidP="002E09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hyperlink r:id="rId4" w:tooltip="Neil Williams" w:history="1"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 xml:space="preserve">Neil </w:t>
        </w:r>
        <w:proofErr w:type="spellStart"/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>Williams</w:t>
        </w:r>
        <w:proofErr w:type="spellEnd"/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 xml:space="preserve"> </w:t>
        </w:r>
      </w:hyperlink>
    </w:p>
    <w:p w:rsidR="002E0950" w:rsidRPr="002E0950" w:rsidRDefault="002E0950" w:rsidP="002E0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Emmerich </w:t>
      </w:r>
      <w:proofErr w:type="spellStart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Neil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Williams’s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Emmerich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exhibit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family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resemblance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Frank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Stella’s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divisions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respond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plasticity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indicate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Williams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vocabulary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vision. But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Stella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labors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composition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,”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balancing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element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intrusion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manifest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illusionism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Williams’s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composed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decoration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balanced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illusionist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balanced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divide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modernity,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finally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sophisticated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Center in Point</w:t>
      </w: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whose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emanates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three-dimensional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geometric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oblique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angles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wall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inhabit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decorative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Center in Point</w:t>
      </w: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composed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box on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right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side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forward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banded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violet, blue,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yellow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top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parallelogram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imaginary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left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presence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isometric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perspective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trapezoid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shadowy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opening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a green plane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capped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flipped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-open top.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Across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careful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divide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intensity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/green area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complements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cooler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tonal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succession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purple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values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yellow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finally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aware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use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emerged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Cubist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collage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shading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formerly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plastic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substance. It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ironically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became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decorative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counterpoint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described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Transformed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symbols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three-dimensionality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areas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shading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expanded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almost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attained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weight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presence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In </w:t>
      </w:r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Center in Point</w:t>
      </w: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Williams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reintroduced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same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ambivalent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use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But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shifts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apparent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density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folded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rise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playful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bas-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relief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—to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shadowy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illusiveness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oblique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bands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decoration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balanced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against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made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impossible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fussiness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apparent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Williams’s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drive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compose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finally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hyperlink r:id="rId5" w:tooltip="Contributions by Rosalind Krauss" w:history="1">
        <w:r w:rsidRPr="002E09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 xml:space="preserve">Rosalind </w:t>
        </w:r>
        <w:proofErr w:type="spellStart"/>
        <w:r w:rsidRPr="002E09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>Krauss</w:t>
        </w:r>
        <w:proofErr w:type="spellEnd"/>
      </w:hyperlink>
    </w:p>
    <w:p w:rsid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</w:pPr>
    </w:p>
    <w:p w:rsidR="002E0950" w:rsidRPr="002E0950" w:rsidRDefault="002E0950" w:rsidP="002E09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hyperlink r:id="rId6" w:tooltip="Adolph Gottlieb" w:history="1">
        <w:proofErr w:type="spellStart"/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>Adolph</w:t>
        </w:r>
        <w:proofErr w:type="spellEnd"/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 xml:space="preserve"> </w:t>
        </w:r>
        <w:proofErr w:type="spellStart"/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>Gottlieb</w:t>
        </w:r>
        <w:proofErr w:type="spellEnd"/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 xml:space="preserve"> </w:t>
        </w:r>
      </w:hyperlink>
    </w:p>
    <w:p w:rsidR="002E0950" w:rsidRPr="002E0950" w:rsidRDefault="002E0950" w:rsidP="002E0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proofErr w:type="spellStart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Marlborough-Gerson</w:t>
      </w:r>
      <w:proofErr w:type="spellEnd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Adolph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Gottlieb’s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show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Marlborough-Gerson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recapitulated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1950s</w:t>
      </w:r>
      <w:proofErr w:type="gram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placing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neatly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bounded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circular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profusion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ragged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lower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 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Two</w:t>
      </w:r>
      <w:proofErr w:type="spellEnd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Discs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1963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these, and </w:t>
      </w:r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Roman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Three</w:t>
      </w:r>
      <w:proofErr w:type="spellEnd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#2</w:t>
      </w: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 (1963)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demonstrates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reduction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Gottlieb’s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differentiations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eliminated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oils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make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distinctions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necessary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determine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divisions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But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Gottlieb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carried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reductive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tendency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treatment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Focal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1965,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eccentric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element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exchanged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neatly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executed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square area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color-patches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tube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applied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long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thick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strokes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yellow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Instead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centering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regular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circle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along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central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vertical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axis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earlier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treatment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invariably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Gottlieb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places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circle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heavily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green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orb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yellow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atmospheric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halo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around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center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shifts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composite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lower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right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corner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so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two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relationship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balance: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equilibrium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arrived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moreover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spatial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aerial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medium. It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appears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Gottlieb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axiality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composition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cohesion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through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organization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dependent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rationale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support,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reintroduces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uncontrollable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illusionism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strange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similarity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Focus </w:t>
      </w: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Kandinsky’s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gram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1920s</w:t>
      </w:r>
      <w:proofErr w:type="gram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careful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geometry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deadpan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execution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realizes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denial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support. In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Concerning</w:t>
      </w:r>
      <w:proofErr w:type="spellEnd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Spiritual</w:t>
      </w:r>
      <w:proofErr w:type="spellEnd"/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in Art</w:t>
      </w: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Kandinsky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limit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limitation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destroyed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felt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to make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plane.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Striving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after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suggestively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illusionistic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longer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yield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first-rate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Gottlieb’s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case his more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shuttle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illusionism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partial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control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surface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somehow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reduced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weakened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hyperlink r:id="rId7" w:tooltip="Contributions by Rosalind Krauss" w:history="1">
        <w:r w:rsidRPr="002E09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 xml:space="preserve">Rosalind </w:t>
        </w:r>
        <w:proofErr w:type="spellStart"/>
        <w:r w:rsidRPr="002E09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>Krauss</w:t>
        </w:r>
        <w:proofErr w:type="spellEnd"/>
      </w:hyperlink>
    </w:p>
    <w:p w:rsid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E0950" w:rsidRPr="002E0950" w:rsidRDefault="002E0950" w:rsidP="002E09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hyperlink r:id="rId8" w:tooltip="Morris Louis" w:history="1">
        <w:r w:rsidRPr="002E095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cs-CZ" w:eastAsia="cs-CZ"/>
          </w:rPr>
          <w:t xml:space="preserve">Morris Louis </w:t>
        </w:r>
      </w:hyperlink>
    </w:p>
    <w:p w:rsidR="002E0950" w:rsidRPr="002E0950" w:rsidRDefault="002E0950" w:rsidP="002E0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Andre Emmerich </w:t>
      </w:r>
      <w:proofErr w:type="spellStart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ongoing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tempts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chronicle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Morris Louis,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range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historians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fixed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characterization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sensibility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siecle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first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articles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categorize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Louis’s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Robert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Rosenblum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speaks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languid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expansive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beauty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evokes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exquisite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hothouse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atmosphere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most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precious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Nouveau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gardens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,” (</w:t>
      </w:r>
      <w:r w:rsidRPr="002E0950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Art International</w:t>
      </w: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VII,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December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1963)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association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period 1958–60)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totally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romantic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vitalist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metaphors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butterfly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quartz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deposits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giant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gaseous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flames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toward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landscape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Mr.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Rosenblum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Turner and Monet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characterizes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symbolist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initial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association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veils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Loie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Fuller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mistaken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but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carried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essays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written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Mr.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Rosenblum’s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pitch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irrelevance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inaccuracy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almost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incredible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Daniel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Robbins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also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pushes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thesis (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Quadrum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18),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backstopping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arguments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writers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’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remarks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presumably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support his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observation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by Michael Fried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addressed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himself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problem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without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representing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denoting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achieve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concreteness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consciousness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such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free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viewer’s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personality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associations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any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independent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any “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obvious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Mr. Fried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designates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desire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Symbolist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coupling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Morris Louis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Tiffany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fact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denying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directly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represents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Mr.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Fried’s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analysis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Louis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poles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apart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siecle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interpretation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ten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reading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Louis’s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At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Andre Emmerich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Gallery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previously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unshown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1958–60 are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exhibited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giving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opportunity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still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period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question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These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extraordinarily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beautiful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canvases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great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diversity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range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chromatic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density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treatment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vertical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edges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nearing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opacity,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beyond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translucent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stain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acts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highlight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backlit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object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Thus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Louis’s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fields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very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beginning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themselves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self-contained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object-worlds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not as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metaphors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organisms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previously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know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As such,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located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tradition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abstraction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rather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than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evocative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nature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symbolism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—</w:t>
      </w:r>
      <w:hyperlink r:id="rId9" w:tooltip="Contributions by Rosalind Krauss" w:history="1">
        <w:r w:rsidRPr="002E09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 xml:space="preserve">Rosalind </w:t>
        </w:r>
        <w:proofErr w:type="spellStart"/>
        <w:r w:rsidRPr="002E09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cs-CZ" w:eastAsia="cs-CZ"/>
          </w:rPr>
          <w:t>Krauss</w:t>
        </w:r>
        <w:proofErr w:type="spellEnd"/>
      </w:hyperlink>
    </w:p>
    <w:p w:rsidR="002E0950" w:rsidRPr="002E0950" w:rsidRDefault="002E0950" w:rsidP="002E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</w:p>
    <w:p w:rsidR="002E0950" w:rsidRPr="002E0950" w:rsidRDefault="002E0950" w:rsidP="002E0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E095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lastRenderedPageBreak/>
        <w:drawing>
          <wp:inline distT="0" distB="0" distL="0" distR="0" wp14:anchorId="23089C0B" wp14:editId="38326013">
            <wp:extent cx="7620000" cy="7620000"/>
            <wp:effectExtent l="0" t="0" r="0" b="0"/>
            <wp:docPr id="1" name="obráze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50" w:rsidRPr="002E0950" w:rsidRDefault="002E0950" w:rsidP="002E0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last free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article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month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hyperlink r:id="rId11" w:history="1">
        <w:proofErr w:type="spellStart"/>
        <w:r w:rsidRPr="002E0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Subscribe</w:t>
        </w:r>
        <w:proofErr w:type="spellEnd"/>
      </w:hyperlink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immediate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access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five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decades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articles</w:t>
      </w:r>
      <w:proofErr w:type="spellEnd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2E095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</w:t>
      </w:r>
      <w:proofErr w:type="spellEnd"/>
    </w:p>
    <w:p w:rsidR="002E0950" w:rsidRDefault="002E0950"/>
    <w:sectPr w:rsidR="002E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50"/>
    <w:rsid w:val="002E0950"/>
    <w:rsid w:val="00383596"/>
    <w:rsid w:val="0077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73E4"/>
  <w15:chartTrackingRefBased/>
  <w15:docId w15:val="{0544BB95-11FE-4697-9A14-483DFAC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forum.com/print/reviews/196606/morris-louis-763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tforum.com/contributor/rosalind-krau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forum.com/print/reviews/196605/adolph-gottlieb-72066" TargetMode="External"/><Relationship Id="rId11" Type="http://schemas.openxmlformats.org/officeDocument/2006/relationships/hyperlink" Target="https://www.artforum.com/subscribe?tid=pws1" TargetMode="External"/><Relationship Id="rId5" Type="http://schemas.openxmlformats.org/officeDocument/2006/relationships/hyperlink" Target="https://www.artforum.com/contributor/rosalind-krauss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artforum.com/print/reviews/196610/neil-williams-68082" TargetMode="External"/><Relationship Id="rId9" Type="http://schemas.openxmlformats.org/officeDocument/2006/relationships/hyperlink" Target="https://www.artforum.com/contributor/rosalind-kraus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1609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2022-03-02T13:50:00Z</dcterms:created>
  <dcterms:modified xsi:type="dcterms:W3CDTF">2022-03-02T14:42:00Z</dcterms:modified>
</cp:coreProperties>
</file>