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77C0" w14:textId="77777777" w:rsidR="00797116" w:rsidRPr="002039DE" w:rsidRDefault="00797116" w:rsidP="0097640E">
      <w:pPr>
        <w:autoSpaceDE w:val="0"/>
        <w:autoSpaceDN w:val="0"/>
        <w:adjustRightInd w:val="0"/>
        <w:spacing w:after="0"/>
        <w:rPr>
          <w:rFonts w:cs="OrigGarmndBT,Bold"/>
          <w:b/>
          <w:bCs/>
          <w:sz w:val="22"/>
          <w:lang w:val="de-DE"/>
        </w:rPr>
      </w:pPr>
      <w:r w:rsidRPr="002039DE">
        <w:rPr>
          <w:rFonts w:cs="OrigGarmndBT,Bold"/>
          <w:b/>
          <w:bCs/>
          <w:sz w:val="22"/>
          <w:lang w:val="de-DE"/>
        </w:rPr>
        <w:t>Fischer-Kontroverse</w:t>
      </w:r>
    </w:p>
    <w:p w14:paraId="41A6A953" w14:textId="0250EF32" w:rsidR="00797116" w:rsidRPr="002039DE" w:rsidRDefault="00797116" w:rsidP="0097640E">
      <w:pPr>
        <w:autoSpaceDE w:val="0"/>
        <w:autoSpaceDN w:val="0"/>
        <w:adjustRightInd w:val="0"/>
        <w:spacing w:after="0"/>
        <w:rPr>
          <w:rFonts w:cs="OrigGarmndBT"/>
          <w:sz w:val="22"/>
          <w:lang w:val="de-DE"/>
        </w:rPr>
      </w:pPr>
      <w:r w:rsidRPr="002039DE">
        <w:rPr>
          <w:rFonts w:cs="OrigGarmndBT"/>
          <w:sz w:val="22"/>
          <w:lang w:val="de-DE"/>
        </w:rPr>
        <w:t>In dem in mehreren Phasen geführten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Streit ging es vereinfacht gesagt um das Ausmaß des deutschen Schuldanteils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 xml:space="preserve">am Ersten Weltkrieg. In seinem Buch </w:t>
      </w:r>
      <w:r w:rsidRPr="002039DE">
        <w:rPr>
          <w:rFonts w:cs="OrigGarmndBT,Italic"/>
          <w:i/>
          <w:iCs/>
          <w:sz w:val="22"/>
          <w:lang w:val="de-DE"/>
        </w:rPr>
        <w:t>Griff nach der Weltmacht</w:t>
      </w:r>
      <w:r w:rsidR="0097640E" w:rsidRPr="002039DE">
        <w:rPr>
          <w:rFonts w:cs="OrigGarmndBT,Italic"/>
          <w:i/>
          <w:iCs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wies Fischer die These vom unabsichtlichen „Hineinschlittern“ Deutschlands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in den Krieg durch seine These zurück, deutsche Auslandspolitik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habe ihre hegemonialen Großmachtambitionen langfristig gehegt, also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nicht erst 1914. Durch diesen nun schon konstitutiven Charakterzug der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 xml:space="preserve">deutschen </w:t>
      </w:r>
      <w:proofErr w:type="spellStart"/>
      <w:r w:rsidRPr="002039DE">
        <w:rPr>
          <w:rFonts w:cs="OrigGarmndBT"/>
          <w:sz w:val="22"/>
          <w:lang w:val="de-DE"/>
        </w:rPr>
        <w:t>Kaiserspolitik</w:t>
      </w:r>
      <w:proofErr w:type="spellEnd"/>
      <w:r w:rsidRPr="002039DE">
        <w:rPr>
          <w:rFonts w:cs="OrigGarmndBT"/>
          <w:sz w:val="22"/>
          <w:lang w:val="de-DE"/>
        </w:rPr>
        <w:t xml:space="preserve"> sah Fischer nicht nur die eskalierende Situation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im Jahre 1914 bedingt, sondern auch die Kriegs- und Zwischenkriegsjahre.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Aus einer speziellen Fachkontroverse wurde somit ein Streit um bestimmende Tendenzen der deutschen Geschichte, ja um deren Ziel und Sinn.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Die Kontinuität zwischen Kaisertum und der Zwischenkriegszeit suchte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wiederum eine logisch erklärbare Kette dort gültig zu machen, wo bis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dahin von Brüchen, Kontingenzen und Betriebsunfällen die Rede gewesen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 xml:space="preserve">war. </w:t>
      </w:r>
      <w:r w:rsidRPr="002039DE">
        <w:rPr>
          <w:rFonts w:cs="OrigGarmndBT"/>
          <w:sz w:val="22"/>
          <w:lang w:val="de-DE"/>
        </w:rPr>
        <w:t xml:space="preserve"> </w:t>
      </w:r>
    </w:p>
    <w:p w14:paraId="5FA17841" w14:textId="6CBB4262" w:rsidR="00797116" w:rsidRPr="002039DE" w:rsidRDefault="00797116" w:rsidP="00046E6C">
      <w:pPr>
        <w:autoSpaceDE w:val="0"/>
        <w:autoSpaceDN w:val="0"/>
        <w:adjustRightInd w:val="0"/>
        <w:spacing w:after="0"/>
        <w:ind w:firstLine="708"/>
        <w:rPr>
          <w:rFonts w:cs="OrigGarmndBT"/>
          <w:sz w:val="22"/>
          <w:lang w:val="de-DE"/>
        </w:rPr>
      </w:pPr>
      <w:r w:rsidRPr="002039DE">
        <w:rPr>
          <w:rFonts w:cs="OrigGarmndBT"/>
          <w:sz w:val="22"/>
          <w:lang w:val="de-DE"/>
        </w:rPr>
        <w:t xml:space="preserve">Ritter erwies sich während der Kontroverse als typischer </w:t>
      </w:r>
      <w:proofErr w:type="spellStart"/>
      <w:r w:rsidRPr="002039DE">
        <w:rPr>
          <w:rFonts w:cs="OrigGarmndBT,Italic"/>
          <w:i/>
          <w:iCs/>
          <w:sz w:val="22"/>
          <w:lang w:val="de-DE"/>
        </w:rPr>
        <w:t>praeceptor</w:t>
      </w:r>
      <w:proofErr w:type="spellEnd"/>
      <w:r w:rsidR="0097640E" w:rsidRPr="002039DE">
        <w:rPr>
          <w:rFonts w:cs="OrigGarmndBT,Italic"/>
          <w:i/>
          <w:iCs/>
          <w:sz w:val="22"/>
          <w:lang w:val="de-DE"/>
        </w:rPr>
        <w:t xml:space="preserve"> </w:t>
      </w:r>
      <w:proofErr w:type="spellStart"/>
      <w:r w:rsidRPr="002039DE">
        <w:rPr>
          <w:rFonts w:cs="OrigGarmndBT,Italic"/>
          <w:i/>
          <w:iCs/>
          <w:sz w:val="22"/>
          <w:lang w:val="de-DE"/>
        </w:rPr>
        <w:t>Germaniae</w:t>
      </w:r>
      <w:proofErr w:type="spellEnd"/>
      <w:r w:rsidRPr="002039DE">
        <w:rPr>
          <w:rFonts w:cs="OrigGarmndBT"/>
          <w:sz w:val="22"/>
          <w:lang w:val="de-DE"/>
        </w:rPr>
        <w:t>, für den die Wahrheit der geschichtlichen Narration von den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nationalen Interessen nicht zu trennen ist; wohl auch deshalb fand er im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Gegensatz zu Fischer starke Unterstützung der konservativen Politiker,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für die es ja keine andere als nationale Wahrheit geben kann. In Fischer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wurde er indes mit solch einer Form der Geschichtswissenschaft konfrontiert,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 xml:space="preserve">die sich </w:t>
      </w:r>
      <w:proofErr w:type="gramStart"/>
      <w:r w:rsidRPr="002039DE">
        <w:rPr>
          <w:rFonts w:cs="OrigGarmndBT"/>
          <w:sz w:val="22"/>
          <w:lang w:val="de-DE"/>
        </w:rPr>
        <w:t>ausschließlich dem eigenen kritischen Urteil</w:t>
      </w:r>
      <w:proofErr w:type="gramEnd"/>
      <w:r w:rsidRPr="002039DE">
        <w:rPr>
          <w:rFonts w:cs="OrigGarmndBT"/>
          <w:sz w:val="22"/>
          <w:lang w:val="de-DE"/>
        </w:rPr>
        <w:t xml:space="preserve"> verantwortete.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Die dem Geiste des Historismus verpflichtete und zur nationalen Geschichtspolitik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tendierende Geschichtswissenschaft wurde zu Beginn der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1960er Jahre von der kritischen Geschichtswissenschaft herausgefordert,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die ihrerseits zur universal aufgefassten nationalen Selbstkritik neigte. In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ihrem Falle drohte kein Rückfall zu nationalen Dienstverpflichtungen,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sehr wohl aber eine Vereinnahmung von ethischen Maßstäben</w:t>
      </w:r>
      <w:r w:rsidR="0097640E" w:rsidRPr="002039DE">
        <w:rPr>
          <w:rFonts w:cs="OrigGarmndBT"/>
          <w:sz w:val="22"/>
          <w:lang w:val="de-DE"/>
        </w:rPr>
        <w:t>.</w:t>
      </w:r>
    </w:p>
    <w:p w14:paraId="534DF11C" w14:textId="75F4F1C1" w:rsidR="00797116" w:rsidRPr="002039DE" w:rsidRDefault="00797116" w:rsidP="00046E6C">
      <w:pPr>
        <w:autoSpaceDE w:val="0"/>
        <w:autoSpaceDN w:val="0"/>
        <w:adjustRightInd w:val="0"/>
        <w:spacing w:after="0"/>
        <w:ind w:firstLine="708"/>
        <w:rPr>
          <w:rFonts w:cs="OrigGarmndBT"/>
          <w:sz w:val="22"/>
          <w:lang w:val="de-DE"/>
        </w:rPr>
      </w:pPr>
      <w:r w:rsidRPr="002039DE">
        <w:rPr>
          <w:rFonts w:cs="OrigGarmndBT"/>
          <w:sz w:val="22"/>
          <w:lang w:val="de-DE"/>
        </w:rPr>
        <w:t>Beide Positionen befinden sich in einer zerbrechlichen Balance, die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auszuhalten recht schwierig ist; auf der einen Seite hat man mit der Gefahr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der entlastenden Relativierung durch die nationale Indienstnahme der</w:t>
      </w:r>
      <w:r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Geschichtswissenschaft zu tun, auf der anderen mit der durch die ethische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Indienstnahme der Geschichtswissenschaft bedingten Gefahr des hypertrophierten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Moralisierens und des nationalen Masochismus. Was sich als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nüchterne Sachlichkeit, wissenschaftliche Objektivität, nicht simplifizierende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und nicht pauschalisierende Erfassung der Wirklichkeit gibt, kann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auch als Alibi für historische Nationalpolitik dienen, die alle Ecken und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Kanten der Vergangenheit möglichst glätten will. Die Kritik solchen Bewusstseins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wiederum, die sich universal gibt, kann zum hasserfüllten Abrechnen,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zum rigorosen Moralisieren, zur zwingenden Negation des</w:t>
      </w:r>
      <w:r w:rsidR="0097640E" w:rsidRPr="002039DE">
        <w:rPr>
          <w:rFonts w:cs="OrigGarmndBT"/>
          <w:sz w:val="22"/>
          <w:lang w:val="de-DE"/>
        </w:rPr>
        <w:t xml:space="preserve"> </w:t>
      </w:r>
      <w:r w:rsidRPr="002039DE">
        <w:rPr>
          <w:rFonts w:cs="OrigGarmndBT"/>
          <w:sz w:val="22"/>
          <w:lang w:val="de-DE"/>
        </w:rPr>
        <w:t>Deutschen werden.</w:t>
      </w:r>
    </w:p>
    <w:p w14:paraId="50EB79D7" w14:textId="74AE2044" w:rsidR="00046E6C" w:rsidRPr="002039DE" w:rsidRDefault="00046E6C" w:rsidP="00046E6C">
      <w:pPr>
        <w:autoSpaceDE w:val="0"/>
        <w:autoSpaceDN w:val="0"/>
        <w:adjustRightInd w:val="0"/>
        <w:spacing w:after="0"/>
        <w:ind w:firstLine="708"/>
        <w:rPr>
          <w:rFonts w:cs="OrigGarmndBT"/>
          <w:sz w:val="22"/>
          <w:lang w:val="de-DE"/>
        </w:rPr>
      </w:pPr>
    </w:p>
    <w:p w14:paraId="5718D7DF" w14:textId="7EDCECCD" w:rsidR="00046E6C" w:rsidRPr="002039DE" w:rsidRDefault="00046E6C" w:rsidP="00046E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2"/>
          <w:lang w:val="de-DE"/>
        </w:rPr>
      </w:pPr>
      <w:r w:rsidRPr="002039DE">
        <w:rPr>
          <w:sz w:val="22"/>
          <w:lang w:val="de-DE"/>
        </w:rPr>
        <w:lastRenderedPageBreak/>
        <w:t>Wie sieht Fischer die Beziehung der deutschen Geschichte zu Hitler?</w:t>
      </w:r>
    </w:p>
    <w:p w14:paraId="7C7563BD" w14:textId="31B2A0FB" w:rsidR="00046E6C" w:rsidRPr="002039DE" w:rsidRDefault="002039DE" w:rsidP="00046E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2"/>
          <w:lang w:val="de-DE"/>
        </w:rPr>
      </w:pPr>
      <w:r w:rsidRPr="002039DE">
        <w:rPr>
          <w:sz w:val="22"/>
          <w:lang w:val="de-DE"/>
        </w:rPr>
        <w:t>Worum ging es in der Fischer-Kontroverse?</w:t>
      </w:r>
    </w:p>
    <w:p w14:paraId="2CD67F32" w14:textId="63C4B5A0" w:rsidR="002039DE" w:rsidRPr="002039DE" w:rsidRDefault="002039DE" w:rsidP="00046E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2"/>
          <w:lang w:val="de-DE"/>
        </w:rPr>
      </w:pPr>
      <w:r w:rsidRPr="002039DE">
        <w:rPr>
          <w:sz w:val="22"/>
          <w:lang w:val="de-DE"/>
        </w:rPr>
        <w:t>Was ist der Nachteil der Position Ritters?</w:t>
      </w:r>
    </w:p>
    <w:p w14:paraId="0C78A65A" w14:textId="31C2F93E" w:rsidR="002039DE" w:rsidRPr="002039DE" w:rsidRDefault="002039DE" w:rsidP="00046E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2"/>
          <w:lang w:val="de-DE"/>
        </w:rPr>
      </w:pPr>
      <w:r w:rsidRPr="002039DE">
        <w:rPr>
          <w:sz w:val="22"/>
          <w:lang w:val="de-DE"/>
        </w:rPr>
        <w:t>Was ist der Nachteil der Position Fischers?</w:t>
      </w:r>
    </w:p>
    <w:p w14:paraId="51309D4C" w14:textId="508F31B3" w:rsidR="00797116" w:rsidRPr="002039DE" w:rsidRDefault="00797116" w:rsidP="0097640E">
      <w:pPr>
        <w:rPr>
          <w:sz w:val="22"/>
          <w:lang w:val="de-DE"/>
        </w:rPr>
      </w:pPr>
      <w:bookmarkStart w:id="0" w:name="_GoBack"/>
      <w:bookmarkEnd w:id="0"/>
    </w:p>
    <w:sectPr w:rsidR="00797116" w:rsidRPr="0020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rigGarmnd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rigGarmndBT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rigGarmndBT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56AEB"/>
    <w:multiLevelType w:val="hybridMultilevel"/>
    <w:tmpl w:val="C2FE1886"/>
    <w:lvl w:ilvl="0" w:tplc="1A8A7D0C">
      <w:start w:val="1"/>
      <w:numFmt w:val="decimal"/>
      <w:lvlText w:val="%1)"/>
      <w:lvlJc w:val="left"/>
      <w:pPr>
        <w:ind w:left="1068" w:hanging="360"/>
      </w:pPr>
      <w:rPr>
        <w:rFonts w:cs="OrigGarmndBT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5D"/>
    <w:rsid w:val="00046E6C"/>
    <w:rsid w:val="002039DE"/>
    <w:rsid w:val="00547004"/>
    <w:rsid w:val="00797116"/>
    <w:rsid w:val="0082055D"/>
    <w:rsid w:val="0097640E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2A5E"/>
  <w15:chartTrackingRefBased/>
  <w15:docId w15:val="{FCA31FB2-49E7-4B1E-9411-D00AD404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004"/>
    <w:pPr>
      <w:spacing w:line="360" w:lineRule="auto"/>
      <w:jc w:val="both"/>
    </w:pPr>
    <w:rPr>
      <w:rFonts w:ascii="Book Antiqua" w:hAnsi="Book Antiqua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2020-04-28T15:57:00Z</dcterms:created>
  <dcterms:modified xsi:type="dcterms:W3CDTF">2020-04-28T17:30:00Z</dcterms:modified>
</cp:coreProperties>
</file>