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54667" w14:textId="73886CBC" w:rsidR="00C817AD" w:rsidRPr="001E630C" w:rsidRDefault="00C817AD" w:rsidP="00C817AD">
      <w:pPr>
        <w:autoSpaceDE w:val="0"/>
        <w:autoSpaceDN w:val="0"/>
        <w:adjustRightInd w:val="0"/>
        <w:spacing w:after="0"/>
        <w:rPr>
          <w:rFonts w:cs="OrigGarmndBT,Bold"/>
          <w:b/>
          <w:bCs/>
          <w:sz w:val="20"/>
          <w:szCs w:val="20"/>
          <w:lang w:val="de-DE"/>
        </w:rPr>
      </w:pPr>
      <w:r w:rsidRPr="001E630C">
        <w:rPr>
          <w:rFonts w:cs="OrigGarmndBT,Bold"/>
          <w:b/>
          <w:bCs/>
          <w:sz w:val="20"/>
          <w:szCs w:val="20"/>
          <w:lang w:val="de-DE"/>
        </w:rPr>
        <w:t>1960er Jahre. Ein Wendepunkt?</w:t>
      </w:r>
    </w:p>
    <w:p w14:paraId="60A9E5FA" w14:textId="53C060B5" w:rsidR="00C817AD" w:rsidRPr="001E630C" w:rsidRDefault="00C817AD" w:rsidP="00C817AD">
      <w:pPr>
        <w:autoSpaceDE w:val="0"/>
        <w:autoSpaceDN w:val="0"/>
        <w:adjustRightInd w:val="0"/>
        <w:spacing w:after="0"/>
        <w:rPr>
          <w:rFonts w:cs="OrigGarmndBT"/>
          <w:sz w:val="20"/>
          <w:szCs w:val="20"/>
          <w:lang w:val="de-DE"/>
        </w:rPr>
      </w:pPr>
      <w:r w:rsidRPr="001E630C">
        <w:rPr>
          <w:rFonts w:cs="OrigGarmndBT"/>
          <w:sz w:val="20"/>
          <w:szCs w:val="20"/>
          <w:lang w:val="de-DE"/>
        </w:rPr>
        <w:t>Während in den 1950er Jahren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mit Beschuldigungen gespart und eine kollektive Schuldzuweisung zurückgewiesen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wurde, nahm in den 1960er Jahren der Kreis der Beschuldigten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ständig zu, bis sich auf der Anklagebank die Bundesrepublik als solche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gefunden hat. Zeigte man im vorigen Jahrzehnt keinen besonderen Willen,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die Vergangenheit zu ermitteln, und übte man sich, falls man zu viel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wusste, in diskretem Schweigen, so löste das sechste Jahrzehnt diese Diskretheit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in einer Atmosphäre des Verdachts auf; jeder deutsche Soldat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wurde der begangenen Verbrechen gegen die Menschheit verdächtigt,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jeder Bundesbürger wurde dem Vorwurf ausgesetzt, dass ihm solche Verbrechen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wohl noch heute denkbar vorkommen mögen.</w:t>
      </w:r>
    </w:p>
    <w:p w14:paraId="2F4DE958" w14:textId="621CD202" w:rsidR="00C817AD" w:rsidRPr="001E630C" w:rsidRDefault="00C817AD" w:rsidP="00C817AD">
      <w:pPr>
        <w:autoSpaceDE w:val="0"/>
        <w:autoSpaceDN w:val="0"/>
        <w:adjustRightInd w:val="0"/>
        <w:spacing w:after="0"/>
        <w:ind w:firstLine="708"/>
        <w:rPr>
          <w:rFonts w:cs="OrigGarmndBT"/>
          <w:sz w:val="20"/>
          <w:szCs w:val="20"/>
          <w:lang w:val="de-DE"/>
        </w:rPr>
      </w:pPr>
      <w:r w:rsidRPr="001E630C">
        <w:rPr>
          <w:rFonts w:cs="OrigGarmndBT"/>
          <w:sz w:val="20"/>
          <w:szCs w:val="20"/>
          <w:lang w:val="de-DE"/>
        </w:rPr>
        <w:t>Diese recht schablonenhafte Schilderung ruft den Eindruck hervor,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die 1960er Jahre würden einen Wendepunkt markieren</w:t>
      </w:r>
      <w:r w:rsidR="001E630C" w:rsidRPr="001E630C">
        <w:rPr>
          <w:rFonts w:cs="OrigGarmndBT"/>
          <w:sz w:val="20"/>
          <w:szCs w:val="20"/>
          <w:lang w:val="de-DE"/>
        </w:rPr>
        <w:t>.</w:t>
      </w:r>
      <w:r w:rsidRPr="001E630C">
        <w:rPr>
          <w:rFonts w:cs="OrigGarmndBT"/>
          <w:sz w:val="20"/>
          <w:szCs w:val="20"/>
          <w:lang w:val="de-DE"/>
        </w:rPr>
        <w:t xml:space="preserve"> Der damals heranwachsenden Generation mag mit der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Bundesrepublik und ihren Manieren der Geduldsfaden gerissen sein, man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war nun nicht mehr bereit, die bis dahin sanktionierte Heuchelei zu akzeptieren.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Immer bedrohlicher erschien der Widerspruch zwischen der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erfolgreichen und selbstzufriedenen Gesellschaft einerseits und deren unumstrittenen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Schuldverstrickung andererseits. So waren Stimmen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zu vernehmen, die von offensichtlichen Defiziten der üblichen (und nur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vermeintlich erfolgreichen) Aufarbeitung der Vergangenheit gesprochen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haben.</w:t>
      </w:r>
    </w:p>
    <w:p w14:paraId="00955F20" w14:textId="4BE89FCC" w:rsidR="00C817AD" w:rsidRPr="001E630C" w:rsidRDefault="00C817AD" w:rsidP="00C817AD">
      <w:pPr>
        <w:autoSpaceDE w:val="0"/>
        <w:autoSpaceDN w:val="0"/>
        <w:adjustRightInd w:val="0"/>
        <w:spacing w:after="0"/>
        <w:ind w:firstLine="708"/>
        <w:rPr>
          <w:rFonts w:cs="OrigGarmndBT,Italic"/>
          <w:i/>
          <w:iCs/>
          <w:sz w:val="20"/>
          <w:szCs w:val="20"/>
          <w:lang w:val="de-DE"/>
        </w:rPr>
      </w:pPr>
      <w:r w:rsidRPr="001E630C">
        <w:rPr>
          <w:rFonts w:cs="OrigGarmndBT"/>
          <w:sz w:val="20"/>
          <w:szCs w:val="20"/>
          <w:lang w:val="de-DE"/>
        </w:rPr>
        <w:t>Als bedrohlich wurde auch das von der ganzen Nation gepflegte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Distanzieren vom Nationalsozialismus empfunden, infolge dessen die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Schrecken der Vergangenheit ins kollektive Gedächtnis kaum integriert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wurden: man habe sie beschwiegen, mit keinem konkreten Raum verbunden,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 xml:space="preserve">sie seien </w:t>
      </w:r>
      <w:proofErr w:type="spellStart"/>
      <w:r w:rsidRPr="001E630C">
        <w:rPr>
          <w:rFonts w:cs="OrigGarmndBT"/>
          <w:sz w:val="20"/>
          <w:szCs w:val="20"/>
          <w:lang w:val="de-DE"/>
        </w:rPr>
        <w:t>unlokalisierbar</w:t>
      </w:r>
      <w:proofErr w:type="spellEnd"/>
      <w:r w:rsidRPr="001E630C">
        <w:rPr>
          <w:rFonts w:cs="OrigGarmndBT"/>
          <w:sz w:val="20"/>
          <w:szCs w:val="20"/>
          <w:lang w:val="de-DE"/>
        </w:rPr>
        <w:t>, a-</w:t>
      </w:r>
      <w:proofErr w:type="spellStart"/>
      <w:r w:rsidRPr="001E630C">
        <w:rPr>
          <w:rFonts w:cs="OrigGarmndBT"/>
          <w:sz w:val="20"/>
          <w:szCs w:val="20"/>
          <w:lang w:val="de-DE"/>
        </w:rPr>
        <w:t>topisch</w:t>
      </w:r>
      <w:proofErr w:type="spellEnd"/>
      <w:r w:rsidRPr="001E630C">
        <w:rPr>
          <w:rFonts w:cs="OrigGarmndBT"/>
          <w:sz w:val="20"/>
          <w:szCs w:val="20"/>
          <w:lang w:val="de-DE"/>
        </w:rPr>
        <w:t xml:space="preserve"> gewesen. All dies schien sich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jetzt zu ändern: es galt, eigene Schuldverstrickung nicht zurückzuweisen,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 xml:space="preserve">sondern zu thematisieren. </w:t>
      </w:r>
    </w:p>
    <w:p w14:paraId="7508ECDC" w14:textId="760D065F" w:rsidR="00C817AD" w:rsidRPr="001E630C" w:rsidRDefault="00C817AD" w:rsidP="00C817AD">
      <w:pPr>
        <w:autoSpaceDE w:val="0"/>
        <w:autoSpaceDN w:val="0"/>
        <w:adjustRightInd w:val="0"/>
        <w:spacing w:after="0"/>
        <w:ind w:firstLine="708"/>
        <w:rPr>
          <w:rFonts w:cs="OrigGarmndBT"/>
          <w:sz w:val="20"/>
          <w:szCs w:val="20"/>
          <w:lang w:val="de-DE"/>
        </w:rPr>
      </w:pPr>
      <w:r w:rsidRPr="001E630C">
        <w:rPr>
          <w:rFonts w:cs="OrigGarmndBT"/>
          <w:sz w:val="20"/>
          <w:szCs w:val="20"/>
          <w:lang w:val="de-DE"/>
        </w:rPr>
        <w:t>Der gerechte Zorn der kritischen Intellektuellen der zweiten Hälfte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der 1960er Jahre mag berechtigt gewesen sein, man sollte jedoch zumindest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eine Tatsache bedenken. Die kritische Reflexion der deutschen Vergangenheit,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die unzählige Male die Reihen der Schuldiggesprochenen und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Sich-schuldig-Fühlenden vermehrte, wurde am meisten von denjenigen in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Gang gehalten, die, generatio</w:t>
      </w:r>
      <w:r w:rsidR="001E630C" w:rsidRPr="001E630C">
        <w:rPr>
          <w:rFonts w:cs="OrigGarmndBT"/>
          <w:sz w:val="20"/>
          <w:szCs w:val="20"/>
          <w:lang w:val="de-DE"/>
        </w:rPr>
        <w:t>n</w:t>
      </w:r>
      <w:r w:rsidRPr="001E630C">
        <w:rPr>
          <w:rFonts w:cs="OrigGarmndBT"/>
          <w:sz w:val="20"/>
          <w:szCs w:val="20"/>
          <w:lang w:val="de-DE"/>
        </w:rPr>
        <w:t>ell gesagt, „selbst weder am Aufbau des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NS-Regimes noch am Zweiten Weltkrieg aktiv beteiligt gewesen waren“.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Anders gesagt, diese kritische Reflexion wäre ohne den zeitlichen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Abstand undenkbar gewesen, was ja zum Teil den erhobenen Vorwürfen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ihre Spitze abbricht. Und sie war gleichzeitig durch den Abstand von dem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Gegenstand der kritischen Reflexion bedingt. Diese Generation hat sich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am Nazismus nur hypothetisch beteiligt, de facto konnte sie an ihm keine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Verantwortung getragen haben. Und gerade diese Konstellation prädisponierte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sie dazu, mit Schuldzuweisungen zu jonglieren, ohne sich selbst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einzubeziehen. Kritische Reflexion der deutschen Vergangenheit mag sich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in den 1960ern und insbesondere in deren zweiten Hälfte auch deswegen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dermaßen breit durchgesetzt haben, dass es sich in vielen Fällen nicht um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>Selbstreflexion, sondern um Reflexion dessen handelte, was die anderen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 xml:space="preserve">gemacht hatten; es ging vielmehr um die Anklage </w:t>
      </w:r>
      <w:proofErr w:type="spellStart"/>
      <w:r w:rsidRPr="001E630C">
        <w:rPr>
          <w:rFonts w:cs="OrigGarmndBT,Italic"/>
          <w:i/>
          <w:iCs/>
          <w:sz w:val="20"/>
          <w:szCs w:val="20"/>
          <w:lang w:val="de-DE"/>
        </w:rPr>
        <w:t>tua</w:t>
      </w:r>
      <w:proofErr w:type="spellEnd"/>
      <w:r w:rsidRPr="001E630C">
        <w:rPr>
          <w:rFonts w:cs="OrigGarmndBT,Italic"/>
          <w:i/>
          <w:iCs/>
          <w:sz w:val="20"/>
          <w:szCs w:val="20"/>
          <w:lang w:val="de-DE"/>
        </w:rPr>
        <w:t xml:space="preserve"> culpa</w:t>
      </w:r>
      <w:r w:rsidRPr="001E630C">
        <w:rPr>
          <w:rFonts w:cs="OrigGarmndBT"/>
          <w:sz w:val="20"/>
          <w:szCs w:val="20"/>
          <w:lang w:val="de-DE"/>
        </w:rPr>
        <w:t>, weniger um</w:t>
      </w:r>
      <w:r w:rsidRPr="001E630C">
        <w:rPr>
          <w:rFonts w:cs="OrigGarmndBT"/>
          <w:sz w:val="20"/>
          <w:szCs w:val="20"/>
          <w:lang w:val="de-DE"/>
        </w:rPr>
        <w:t xml:space="preserve"> </w:t>
      </w:r>
      <w:r w:rsidRPr="001E630C">
        <w:rPr>
          <w:rFonts w:cs="OrigGarmndBT"/>
          <w:sz w:val="20"/>
          <w:szCs w:val="20"/>
          <w:lang w:val="de-DE"/>
        </w:rPr>
        <w:t xml:space="preserve">die Selbstanklage </w:t>
      </w:r>
      <w:r w:rsidRPr="001E630C">
        <w:rPr>
          <w:rFonts w:cs="OrigGarmndBT,Italic"/>
          <w:i/>
          <w:iCs/>
          <w:sz w:val="20"/>
          <w:szCs w:val="20"/>
          <w:lang w:val="de-DE"/>
        </w:rPr>
        <w:t>mea culpa</w:t>
      </w:r>
      <w:r w:rsidRPr="001E630C">
        <w:rPr>
          <w:rFonts w:cs="OrigGarmndBT"/>
          <w:sz w:val="20"/>
          <w:szCs w:val="20"/>
          <w:lang w:val="de-DE"/>
        </w:rPr>
        <w:t>.</w:t>
      </w:r>
    </w:p>
    <w:p w14:paraId="0023A110" w14:textId="587AB9CE" w:rsidR="00D94664" w:rsidRDefault="00D94664" w:rsidP="00C817AD">
      <w:pPr>
        <w:rPr>
          <w:sz w:val="20"/>
          <w:szCs w:val="20"/>
        </w:rPr>
      </w:pPr>
    </w:p>
    <w:p w14:paraId="7736EA4D" w14:textId="10C77D58" w:rsidR="001E630C" w:rsidRDefault="001E630C" w:rsidP="00C817AD">
      <w:pPr>
        <w:rPr>
          <w:sz w:val="20"/>
          <w:szCs w:val="20"/>
        </w:rPr>
      </w:pPr>
    </w:p>
    <w:p w14:paraId="502045B3" w14:textId="1EEB898F" w:rsidR="001E630C" w:rsidRPr="001E630C" w:rsidRDefault="001E630C" w:rsidP="00C817AD">
      <w:pPr>
        <w:rPr>
          <w:szCs w:val="24"/>
        </w:rPr>
      </w:pPr>
      <w:proofErr w:type="spellStart"/>
      <w:r w:rsidRPr="001E630C">
        <w:rPr>
          <w:szCs w:val="24"/>
        </w:rPr>
        <w:lastRenderedPageBreak/>
        <w:t>Fragen</w:t>
      </w:r>
      <w:proofErr w:type="spellEnd"/>
      <w:r w:rsidRPr="001E630C">
        <w:rPr>
          <w:szCs w:val="24"/>
        </w:rPr>
        <w:t>:</w:t>
      </w:r>
    </w:p>
    <w:p w14:paraId="4D08FF73" w14:textId="58E40F46" w:rsidR="001E630C" w:rsidRDefault="001E630C" w:rsidP="001E630C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Wie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wurde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Vergangenheit</w:t>
      </w:r>
      <w:proofErr w:type="spellEnd"/>
      <w:r>
        <w:rPr>
          <w:szCs w:val="24"/>
        </w:rPr>
        <w:t xml:space="preserve"> in den 50ern </w:t>
      </w:r>
      <w:proofErr w:type="spellStart"/>
      <w:r>
        <w:rPr>
          <w:szCs w:val="24"/>
        </w:rPr>
        <w:t>reflektiert</w:t>
      </w:r>
      <w:proofErr w:type="spellEnd"/>
      <w:r>
        <w:rPr>
          <w:szCs w:val="24"/>
        </w:rPr>
        <w:t>?</w:t>
      </w:r>
      <w:r w:rsidR="00112639">
        <w:rPr>
          <w:szCs w:val="24"/>
        </w:rPr>
        <w:t xml:space="preserve"> </w:t>
      </w:r>
      <w:r w:rsidR="00112639" w:rsidRPr="00112639">
        <w:rPr>
          <w:i/>
          <w:iCs/>
          <w:szCs w:val="24"/>
        </w:rPr>
        <w:t xml:space="preserve">(Kleine </w:t>
      </w:r>
      <w:proofErr w:type="spellStart"/>
      <w:r w:rsidR="00112639" w:rsidRPr="00112639">
        <w:rPr>
          <w:i/>
          <w:iCs/>
          <w:szCs w:val="24"/>
        </w:rPr>
        <w:t>Wiederholung</w:t>
      </w:r>
      <w:proofErr w:type="spellEnd"/>
      <w:r w:rsidR="00112639">
        <w:rPr>
          <w:i/>
          <w:iCs/>
          <w:szCs w:val="24"/>
        </w:rPr>
        <w:t xml:space="preserve"> </w:t>
      </w:r>
      <w:r w:rsidR="00112639" w:rsidRPr="0011263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112639" w:rsidRPr="00112639">
        <w:rPr>
          <w:i/>
          <w:iCs/>
          <w:szCs w:val="24"/>
        </w:rPr>
        <w:t>)</w:t>
      </w:r>
    </w:p>
    <w:p w14:paraId="16026AC7" w14:textId="0B189A24" w:rsidR="001E630C" w:rsidRDefault="001E630C" w:rsidP="001E630C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Wie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wurde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Vergangenheit</w:t>
      </w:r>
      <w:proofErr w:type="spellEnd"/>
      <w:r>
        <w:rPr>
          <w:szCs w:val="24"/>
        </w:rPr>
        <w:t xml:space="preserve"> in den 60ern </w:t>
      </w:r>
      <w:proofErr w:type="spellStart"/>
      <w:r>
        <w:rPr>
          <w:szCs w:val="24"/>
        </w:rPr>
        <w:t>reflektiert</w:t>
      </w:r>
      <w:proofErr w:type="spellEnd"/>
      <w:r>
        <w:rPr>
          <w:szCs w:val="24"/>
        </w:rPr>
        <w:t>?</w:t>
      </w:r>
    </w:p>
    <w:p w14:paraId="49DE0A2E" w14:textId="3CF0B5FA" w:rsidR="001E630C" w:rsidRPr="001E630C" w:rsidRDefault="00112639" w:rsidP="001E630C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Wieso</w:t>
      </w:r>
      <w:proofErr w:type="spellEnd"/>
      <w:r w:rsidR="001E630C">
        <w:rPr>
          <w:szCs w:val="24"/>
        </w:rPr>
        <w:t xml:space="preserve"> kam es </w:t>
      </w:r>
      <w:proofErr w:type="spellStart"/>
      <w:r w:rsidR="001E630C">
        <w:rPr>
          <w:szCs w:val="24"/>
        </w:rPr>
        <w:t>zu</w:t>
      </w:r>
      <w:proofErr w:type="spellEnd"/>
      <w:r w:rsidR="001E630C">
        <w:rPr>
          <w:szCs w:val="24"/>
        </w:rPr>
        <w:t xml:space="preserve"> </w:t>
      </w:r>
      <w:proofErr w:type="spellStart"/>
      <w:r w:rsidR="001E630C">
        <w:rPr>
          <w:szCs w:val="24"/>
        </w:rPr>
        <w:t>dieser</w:t>
      </w:r>
      <w:proofErr w:type="spellEnd"/>
      <w:r w:rsidR="001E630C">
        <w:rPr>
          <w:szCs w:val="24"/>
        </w:rPr>
        <w:t xml:space="preserve"> </w:t>
      </w:r>
      <w:proofErr w:type="spellStart"/>
      <w:r w:rsidR="001E630C">
        <w:rPr>
          <w:szCs w:val="24"/>
        </w:rPr>
        <w:t>Veränderung</w:t>
      </w:r>
      <w:proofErr w:type="spellEnd"/>
      <w:r w:rsidR="001E630C">
        <w:rPr>
          <w:szCs w:val="24"/>
        </w:rPr>
        <w:t>?</w:t>
      </w:r>
      <w:bookmarkStart w:id="0" w:name="_GoBack"/>
      <w:bookmarkEnd w:id="0"/>
    </w:p>
    <w:sectPr w:rsidR="001E630C" w:rsidRPr="001E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rigGarmndBT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rigGarmnd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rigGarmndBT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817E9"/>
    <w:multiLevelType w:val="hybridMultilevel"/>
    <w:tmpl w:val="B1B634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8A"/>
    <w:rsid w:val="00112639"/>
    <w:rsid w:val="001E630C"/>
    <w:rsid w:val="00547004"/>
    <w:rsid w:val="00C817AD"/>
    <w:rsid w:val="00D94664"/>
    <w:rsid w:val="00E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AC72"/>
  <w15:chartTrackingRefBased/>
  <w15:docId w15:val="{5EAA7264-055D-4CD5-9088-AFA1D05B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004"/>
    <w:pPr>
      <w:spacing w:line="360" w:lineRule="auto"/>
      <w:jc w:val="both"/>
    </w:pPr>
    <w:rPr>
      <w:rFonts w:ascii="Book Antiqua" w:hAnsi="Book Antiqua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2020-04-08T08:57:00Z</dcterms:created>
  <dcterms:modified xsi:type="dcterms:W3CDTF">2020-04-08T09:53:00Z</dcterms:modified>
</cp:coreProperties>
</file>